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3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953"/>
        <w:gridCol w:w="2268"/>
      </w:tblGrid>
      <w:tr w:rsidR="008465E2" w:rsidRPr="00B113EA" w:rsidTr="004465D0">
        <w:tc>
          <w:tcPr>
            <w:tcW w:w="2518" w:type="dxa"/>
            <w:shd w:val="clear" w:color="auto" w:fill="auto"/>
            <w:vAlign w:val="center"/>
          </w:tcPr>
          <w:p w:rsidR="00D008A3" w:rsidRDefault="00D008A3" w:rsidP="00D008A3">
            <w:pPr>
              <w:pStyle w:val="En-tte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Assurance complémentaire</w:t>
            </w:r>
          </w:p>
          <w:p w:rsidR="009550EB" w:rsidRPr="00D008A3" w:rsidRDefault="00D008A3" w:rsidP="00D008A3">
            <w:pPr>
              <w:pStyle w:val="En-tte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36"/>
                <w:lang w:val="fr-FR"/>
              </w:rPr>
            </w:pPr>
            <w:proofErr w:type="gramStart"/>
            <w:r w:rsidRPr="00D008A3">
              <w:rPr>
                <w:rFonts w:ascii="Century Gothic" w:hAnsi="Century Gothic"/>
                <w:sz w:val="28"/>
                <w:lang w:val="fr-FR"/>
              </w:rPr>
              <w:t>de</w:t>
            </w:r>
            <w:proofErr w:type="gramEnd"/>
            <w:r w:rsidRPr="00D008A3">
              <w:rPr>
                <w:rFonts w:ascii="Century Gothic" w:hAnsi="Century Gothic"/>
                <w:sz w:val="28"/>
                <w:lang w:val="fr-FR"/>
              </w:rPr>
              <w:t xml:space="preserve"> vos agents</w:t>
            </w:r>
          </w:p>
        </w:tc>
        <w:tc>
          <w:tcPr>
            <w:tcW w:w="5953" w:type="dxa"/>
            <w:vAlign w:val="center"/>
          </w:tcPr>
          <w:p w:rsidR="000F795A" w:rsidRPr="00D008A3" w:rsidRDefault="00FC1C25" w:rsidP="000F795A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Century Gothic" w:hAnsi="Century Gothic"/>
                <w:b/>
                <w:sz w:val="28"/>
                <w:u w:val="single"/>
                <w:lang w:val="fr-FR"/>
              </w:rPr>
            </w:pPr>
            <w:r w:rsidRPr="00D008A3">
              <w:rPr>
                <w:rFonts w:ascii="Century Gothic" w:hAnsi="Century Gothic"/>
                <w:b/>
                <w:sz w:val="28"/>
                <w:u w:val="single"/>
                <w:lang w:val="fr-FR"/>
              </w:rPr>
              <w:t>DELIBERATION</w:t>
            </w:r>
          </w:p>
          <w:p w:rsidR="008465E2" w:rsidRPr="00B90C9A" w:rsidRDefault="00093E4F" w:rsidP="00D008A3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Century Gothic" w:hAnsi="Century Gothic"/>
                <w:b/>
                <w:color w:val="404040"/>
                <w:sz w:val="26"/>
                <w:szCs w:val="26"/>
                <w:lang w:val="fr-FR"/>
              </w:rPr>
            </w:pPr>
            <w:r>
              <w:rPr>
                <w:rFonts w:ascii="Century Gothic" w:hAnsi="Century Gothic"/>
                <w:b/>
                <w:color w:val="404040"/>
                <w:sz w:val="26"/>
                <w:szCs w:val="26"/>
                <w:lang w:val="fr-FR"/>
              </w:rPr>
              <w:t>P</w:t>
            </w:r>
            <w:r w:rsidR="00D008A3">
              <w:rPr>
                <w:rFonts w:ascii="Century Gothic" w:hAnsi="Century Gothic"/>
                <w:b/>
                <w:color w:val="404040"/>
                <w:sz w:val="26"/>
                <w:szCs w:val="26"/>
                <w:lang w:val="fr-FR"/>
              </w:rPr>
              <w:t xml:space="preserve">articipation </w:t>
            </w:r>
            <w:r w:rsidR="00D008A3" w:rsidRPr="00D008A3">
              <w:rPr>
                <w:rFonts w:ascii="Century Gothic" w:hAnsi="Century Gothic"/>
                <w:b/>
                <w:color w:val="404040"/>
                <w:sz w:val="32"/>
                <w:szCs w:val="26"/>
                <w:lang w:val="fr-FR"/>
              </w:rPr>
              <w:t>PREVOYANCE</w:t>
            </w:r>
          </w:p>
        </w:tc>
        <w:tc>
          <w:tcPr>
            <w:tcW w:w="2268" w:type="dxa"/>
            <w:shd w:val="clear" w:color="auto" w:fill="323232"/>
            <w:vAlign w:val="center"/>
          </w:tcPr>
          <w:p w:rsidR="008465E2" w:rsidRDefault="00D008A3" w:rsidP="00BE004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Century Gothic" w:hAnsi="Century Gothic"/>
                <w:b/>
                <w:sz w:val="28"/>
                <w:lang w:val="fr-FR"/>
              </w:rPr>
            </w:pPr>
            <w:r>
              <w:rPr>
                <w:rFonts w:ascii="Century Gothic" w:hAnsi="Century Gothic"/>
                <w:b/>
                <w:sz w:val="28"/>
                <w:lang w:val="fr-FR"/>
              </w:rPr>
              <w:t>MODELE</w:t>
            </w:r>
          </w:p>
          <w:p w:rsidR="004465D0" w:rsidRPr="00B113EA" w:rsidRDefault="004465D0" w:rsidP="00BE004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Century Gothic" w:hAnsi="Century Gothic"/>
                <w:b/>
                <w:color w:val="FFFFFF"/>
                <w:sz w:val="28"/>
                <w:lang w:val="fr-FR"/>
              </w:rPr>
            </w:pPr>
            <w:proofErr w:type="gramStart"/>
            <w:r>
              <w:rPr>
                <w:rFonts w:ascii="Century Gothic" w:hAnsi="Century Gothic"/>
                <w:b/>
                <w:sz w:val="28"/>
                <w:lang w:val="fr-FR"/>
              </w:rPr>
              <w:t>collectivité</w:t>
            </w:r>
            <w:proofErr w:type="gramEnd"/>
            <w:r>
              <w:rPr>
                <w:rFonts w:ascii="Century Gothic" w:hAnsi="Century Gothic"/>
                <w:b/>
                <w:sz w:val="28"/>
                <w:lang w:val="fr-FR"/>
              </w:rPr>
              <w:t xml:space="preserve"> de – 50 agents</w:t>
            </w:r>
          </w:p>
        </w:tc>
      </w:tr>
    </w:tbl>
    <w:p w:rsidR="000F795A" w:rsidRDefault="000F795A" w:rsidP="000F795A">
      <w:pPr>
        <w:tabs>
          <w:tab w:val="left" w:pos="5580"/>
        </w:tabs>
        <w:spacing w:after="60" w:line="240" w:lineRule="auto"/>
        <w:ind w:left="567"/>
        <w:rPr>
          <w:bCs/>
          <w:sz w:val="24"/>
        </w:rPr>
      </w:pPr>
    </w:p>
    <w:p w:rsidR="00D008A3" w:rsidRDefault="00D008A3" w:rsidP="00D008A3">
      <w:pPr>
        <w:ind w:left="567"/>
        <w:rPr>
          <w:rFonts w:eastAsia="Arial" w:cs="Calibri"/>
          <w:iCs/>
          <w:color w:val="000000"/>
        </w:rPr>
      </w:pPr>
      <w:r>
        <w:rPr>
          <w:rFonts w:eastAsia="Arial" w:cs="Calibri"/>
          <w:b/>
          <w:bCs/>
          <w:iCs/>
          <w:color w:val="000000"/>
        </w:rPr>
        <w:t>NOM DE LA COLLECTIVITE</w:t>
      </w:r>
    </w:p>
    <w:p w:rsidR="00D008A3" w:rsidRDefault="00D008A3" w:rsidP="00D008A3">
      <w:pPr>
        <w:ind w:left="567"/>
        <w:jc w:val="both"/>
        <w:rPr>
          <w:rFonts w:eastAsia="Arial" w:cs="Calibri"/>
          <w:iCs/>
          <w:color w:val="000000"/>
        </w:rPr>
      </w:pPr>
      <w:r>
        <w:rPr>
          <w:rFonts w:eastAsia="Arial" w:cs="Calibri"/>
          <w:iCs/>
          <w:color w:val="000000"/>
        </w:rPr>
        <w:t xml:space="preserve">L'an deux mille </w:t>
      </w:r>
      <w:r w:rsidR="00E81546">
        <w:rPr>
          <w:rFonts w:eastAsia="Arial" w:cs="Calibri"/>
          <w:iCs/>
          <w:color w:val="000000"/>
        </w:rPr>
        <w:t>vingt quatre</w:t>
      </w:r>
    </w:p>
    <w:p w:rsidR="00D008A3" w:rsidRDefault="00D008A3" w:rsidP="00D008A3">
      <w:pPr>
        <w:ind w:left="567"/>
        <w:jc w:val="both"/>
        <w:rPr>
          <w:rFonts w:eastAsia="Arial" w:cs="Calibri"/>
          <w:iCs/>
          <w:color w:val="000000"/>
        </w:rPr>
      </w:pPr>
      <w:r>
        <w:rPr>
          <w:rFonts w:eastAsia="Arial" w:cs="Calibri"/>
          <w:iCs/>
          <w:color w:val="000000"/>
        </w:rPr>
        <w:t>Le (jour) (mois) à (heures - minutes).</w:t>
      </w:r>
    </w:p>
    <w:p w:rsidR="00D008A3" w:rsidRDefault="00D008A3" w:rsidP="00D008A3">
      <w:pPr>
        <w:ind w:left="567"/>
        <w:jc w:val="both"/>
        <w:rPr>
          <w:rFonts w:eastAsia="Arial" w:cs="Calibri"/>
          <w:iCs/>
          <w:color w:val="000000"/>
        </w:rPr>
      </w:pPr>
      <w:r>
        <w:rPr>
          <w:rFonts w:eastAsia="Arial" w:cs="Calibri"/>
          <w:b/>
          <w:bCs/>
          <w:iCs/>
          <w:color w:val="000000"/>
        </w:rPr>
        <w:t>Le (organe délibérant), légalement convoqué, s'est réuni à (lieu), en séance publique sous la présidence de Madame / Monsieur (qualité de l'autorité territoriale).</w:t>
      </w:r>
    </w:p>
    <w:p w:rsidR="00D008A3" w:rsidRDefault="00D008A3" w:rsidP="00D008A3">
      <w:pPr>
        <w:ind w:left="567"/>
        <w:jc w:val="both"/>
        <w:rPr>
          <w:rFonts w:eastAsia="Arial" w:cs="Calibri"/>
          <w:iCs/>
          <w:color w:val="000000"/>
        </w:rPr>
      </w:pPr>
      <w:r>
        <w:rPr>
          <w:rFonts w:eastAsia="Arial" w:cs="Calibri"/>
          <w:iCs/>
          <w:color w:val="000000"/>
        </w:rPr>
        <w:t>Date de convocation :</w:t>
      </w:r>
    </w:p>
    <w:p w:rsidR="00D008A3" w:rsidRDefault="00D008A3" w:rsidP="00D008A3">
      <w:pPr>
        <w:spacing w:after="0"/>
        <w:ind w:left="567"/>
        <w:jc w:val="both"/>
        <w:rPr>
          <w:rFonts w:eastAsia="Arial" w:cs="Calibri"/>
          <w:iCs/>
          <w:color w:val="000000"/>
        </w:rPr>
      </w:pPr>
      <w:r>
        <w:rPr>
          <w:rFonts w:eastAsia="Arial" w:cs="Calibri"/>
          <w:iCs/>
          <w:color w:val="000000"/>
        </w:rPr>
        <w:t>Nombre de conseillers :</w:t>
      </w:r>
    </w:p>
    <w:p w:rsidR="00D008A3" w:rsidRDefault="00D008A3" w:rsidP="00D008A3">
      <w:pPr>
        <w:spacing w:after="0"/>
        <w:ind w:left="567"/>
        <w:jc w:val="both"/>
        <w:rPr>
          <w:rFonts w:eastAsia="Arial" w:cs="Calibri"/>
          <w:iCs/>
          <w:color w:val="000000"/>
        </w:rPr>
      </w:pPr>
      <w:r>
        <w:rPr>
          <w:rFonts w:eastAsia="Arial" w:cs="Calibri"/>
          <w:iCs/>
          <w:color w:val="000000"/>
        </w:rPr>
        <w:t>En exercice :</w:t>
      </w:r>
    </w:p>
    <w:p w:rsidR="00D008A3" w:rsidRDefault="00D008A3" w:rsidP="00D008A3">
      <w:pPr>
        <w:spacing w:after="0"/>
        <w:ind w:left="567"/>
        <w:jc w:val="both"/>
        <w:rPr>
          <w:rFonts w:eastAsia="Arial" w:cs="Calibri"/>
          <w:iCs/>
          <w:color w:val="000000"/>
        </w:rPr>
      </w:pPr>
      <w:r>
        <w:rPr>
          <w:rFonts w:eastAsia="Arial" w:cs="Calibri"/>
          <w:iCs/>
          <w:color w:val="000000"/>
        </w:rPr>
        <w:t>Présents</w:t>
      </w:r>
      <w:r>
        <w:rPr>
          <w:rFonts w:eastAsia="Arial" w:cs="Calibri"/>
          <w:iCs/>
          <w:color w:val="000000"/>
        </w:rPr>
        <w:tab/>
        <w:t>:</w:t>
      </w:r>
    </w:p>
    <w:p w:rsidR="00D008A3" w:rsidRDefault="00D008A3" w:rsidP="00D008A3">
      <w:pPr>
        <w:spacing w:after="0"/>
        <w:ind w:left="567"/>
        <w:jc w:val="both"/>
        <w:rPr>
          <w:rFonts w:eastAsia="Arial" w:cs="Calibri"/>
          <w:iCs/>
          <w:color w:val="000000"/>
        </w:rPr>
      </w:pPr>
      <w:r>
        <w:rPr>
          <w:rFonts w:eastAsia="Arial" w:cs="Calibri"/>
          <w:iCs/>
          <w:color w:val="000000"/>
        </w:rPr>
        <w:t>Votants</w:t>
      </w:r>
      <w:r>
        <w:rPr>
          <w:rFonts w:eastAsia="Arial" w:cs="Calibri"/>
          <w:iCs/>
          <w:color w:val="000000"/>
        </w:rPr>
        <w:tab/>
        <w:t>:</w:t>
      </w:r>
    </w:p>
    <w:p w:rsidR="00D008A3" w:rsidRDefault="00D008A3" w:rsidP="00D008A3">
      <w:pPr>
        <w:spacing w:after="0"/>
        <w:ind w:left="567"/>
        <w:jc w:val="both"/>
        <w:rPr>
          <w:rFonts w:eastAsia="Arial" w:cs="Calibri"/>
          <w:iCs/>
          <w:color w:val="000000"/>
        </w:rPr>
      </w:pPr>
      <w:r>
        <w:rPr>
          <w:rFonts w:eastAsia="Arial" w:cs="Calibri"/>
          <w:iCs/>
          <w:color w:val="000000"/>
        </w:rPr>
        <w:t>Pouvoir</w:t>
      </w:r>
      <w:r>
        <w:rPr>
          <w:rFonts w:eastAsia="Arial" w:cs="Calibri"/>
          <w:iCs/>
          <w:color w:val="000000"/>
        </w:rPr>
        <w:tab/>
        <w:t>:</w:t>
      </w:r>
    </w:p>
    <w:p w:rsidR="00D008A3" w:rsidRDefault="00D008A3" w:rsidP="00D008A3">
      <w:pPr>
        <w:spacing w:after="0"/>
        <w:ind w:left="567"/>
        <w:jc w:val="both"/>
        <w:rPr>
          <w:rFonts w:eastAsia="Arial" w:cs="Calibri"/>
          <w:iCs/>
          <w:color w:val="000000"/>
        </w:rPr>
      </w:pPr>
      <w:r>
        <w:rPr>
          <w:rFonts w:eastAsia="Arial" w:cs="Calibri"/>
          <w:iCs/>
          <w:color w:val="000000"/>
        </w:rPr>
        <w:t>Présents :</w:t>
      </w:r>
    </w:p>
    <w:p w:rsidR="00D008A3" w:rsidRDefault="00D008A3" w:rsidP="00D008A3">
      <w:pPr>
        <w:spacing w:after="0"/>
        <w:ind w:left="567"/>
        <w:jc w:val="both"/>
        <w:rPr>
          <w:rFonts w:eastAsia="Arial" w:cs="Calibri"/>
          <w:iCs/>
          <w:color w:val="000000"/>
        </w:rPr>
      </w:pPr>
      <w:r>
        <w:rPr>
          <w:rFonts w:eastAsia="Arial" w:cs="Calibri"/>
          <w:iCs/>
          <w:color w:val="000000"/>
        </w:rPr>
        <w:t>Absents :</w:t>
      </w:r>
    </w:p>
    <w:p w:rsidR="00D008A3" w:rsidRDefault="00D008A3" w:rsidP="00D008A3">
      <w:pPr>
        <w:ind w:left="567"/>
        <w:jc w:val="both"/>
        <w:rPr>
          <w:rFonts w:eastAsia="Arial" w:cs="Calibri"/>
          <w:iCs/>
          <w:color w:val="000000"/>
        </w:rPr>
      </w:pPr>
      <w:r>
        <w:rPr>
          <w:rFonts w:eastAsia="Arial" w:cs="Calibri"/>
          <w:iCs/>
          <w:color w:val="000000"/>
        </w:rPr>
        <w:t xml:space="preserve">Secrétaire de séance : </w:t>
      </w:r>
    </w:p>
    <w:p w:rsidR="00D008A3" w:rsidRPr="002828C5" w:rsidRDefault="002828C5" w:rsidP="00D008A3">
      <w:pPr>
        <w:spacing w:after="0" w:line="240" w:lineRule="auto"/>
        <w:ind w:left="567"/>
        <w:jc w:val="both"/>
        <w:rPr>
          <w:rFonts w:cs="Trebuchet MS"/>
          <w:b/>
        </w:rPr>
      </w:pPr>
      <w:r w:rsidRPr="002828C5">
        <w:rPr>
          <w:rFonts w:cs="Trebuchet MS"/>
          <w:b/>
        </w:rPr>
        <w:t>Participation obligatoire au financement la prévoyance – maintien de salaire des agents</w:t>
      </w:r>
    </w:p>
    <w:p w:rsidR="002828C5" w:rsidRDefault="002828C5" w:rsidP="00D008A3">
      <w:pPr>
        <w:spacing w:after="0" w:line="240" w:lineRule="auto"/>
        <w:ind w:left="567"/>
        <w:jc w:val="both"/>
        <w:rPr>
          <w:rFonts w:cs="Trebuchet MS"/>
        </w:rPr>
      </w:pP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  <w:r w:rsidRPr="003D4C1D">
        <w:rPr>
          <w:rFonts w:cs="Trebuchet MS"/>
        </w:rPr>
        <w:t>Vu le code général des collectivités territoriales,</w:t>
      </w: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  <w:r w:rsidRPr="003D4C1D">
        <w:rPr>
          <w:rFonts w:cs="Trebuchet MS"/>
        </w:rPr>
        <w:t>Vu le code des assurances, de la mutualité et de la sécurité sociale,</w:t>
      </w:r>
    </w:p>
    <w:p w:rsid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  <w:r w:rsidRPr="003D4C1D">
        <w:rPr>
          <w:rFonts w:cs="Trebuchet MS"/>
        </w:rPr>
        <w:t>Vu les dispositions du Code Général de la Fonction Publique, notamment les articles L.827-</w:t>
      </w:r>
      <w:r w:rsidR="00101EDE">
        <w:rPr>
          <w:rFonts w:cs="Trebuchet MS"/>
        </w:rPr>
        <w:t>1</w:t>
      </w:r>
      <w:r w:rsidRPr="003D4C1D">
        <w:rPr>
          <w:rFonts w:cs="Trebuchet MS"/>
        </w:rPr>
        <w:t xml:space="preserve"> et </w:t>
      </w:r>
      <w:r w:rsidR="00101EDE">
        <w:rPr>
          <w:rFonts w:cs="Trebuchet MS"/>
        </w:rPr>
        <w:t>suivants</w:t>
      </w:r>
      <w:r w:rsidRPr="003D4C1D">
        <w:rPr>
          <w:rFonts w:cs="Trebuchet MS"/>
        </w:rPr>
        <w:t>,</w:t>
      </w: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  <w:r>
        <w:rPr>
          <w:rFonts w:cs="Trebuchet MS"/>
        </w:rPr>
        <w:t xml:space="preserve">Vu l’ordonnance </w:t>
      </w:r>
      <w:r w:rsidRPr="003D4C1D">
        <w:rPr>
          <w:rFonts w:cs="Trebuchet MS"/>
        </w:rPr>
        <w:t>n° 2021-175 du 17 février 2021 relative à la protection sociale complémentaire dans la fonction publique</w:t>
      </w: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  <w:r w:rsidRPr="003D4C1D">
        <w:rPr>
          <w:rFonts w:cs="Trebuchet MS"/>
        </w:rPr>
        <w:t>Vu le décret n° 2011-1474 du 8 novembre 2011 relatif à la participation des collectivités territoriales et de leurs établissements publics au financement de la protection sociale complémentaire de leurs agents,</w:t>
      </w:r>
    </w:p>
    <w:p w:rsidR="00673D3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  <w:r w:rsidRPr="003D4C1D">
        <w:rPr>
          <w:rFonts w:cs="Trebuchet MS"/>
        </w:rPr>
        <w:t>Vu le décret n° 2022-581 du 20 avril 2022 relatif aux garanties de protection sociale complémentaire et à la participation obligatoire des collectivités territoriales et de leurs établissements publics à leur financement,</w:t>
      </w:r>
    </w:p>
    <w:p w:rsidR="00D008A3" w:rsidRDefault="00D008A3" w:rsidP="00D008A3">
      <w:pPr>
        <w:spacing w:after="0" w:line="240" w:lineRule="auto"/>
        <w:ind w:left="567"/>
        <w:jc w:val="both"/>
        <w:rPr>
          <w:rFonts w:cs="Trebuchet MS"/>
        </w:rPr>
      </w:pPr>
      <w:r w:rsidRPr="004465D0">
        <w:rPr>
          <w:rFonts w:cs="Trebuchet MS"/>
        </w:rPr>
        <w:t xml:space="preserve">Vu l’avis du </w:t>
      </w:r>
      <w:r w:rsidR="004465D0" w:rsidRPr="004465D0">
        <w:rPr>
          <w:rFonts w:cs="Trebuchet MS"/>
        </w:rPr>
        <w:t>C</w:t>
      </w:r>
      <w:r w:rsidRPr="004465D0">
        <w:rPr>
          <w:rFonts w:cs="Trebuchet MS"/>
        </w:rPr>
        <w:t xml:space="preserve">omité </w:t>
      </w:r>
      <w:r w:rsidR="004C2125">
        <w:rPr>
          <w:rFonts w:cs="Trebuchet MS"/>
        </w:rPr>
        <w:t xml:space="preserve">Social </w:t>
      </w:r>
      <w:r w:rsidR="004465D0" w:rsidRPr="004465D0">
        <w:rPr>
          <w:rFonts w:cs="Trebuchet MS"/>
        </w:rPr>
        <w:t>T</w:t>
      </w:r>
      <w:r w:rsidRPr="004465D0">
        <w:rPr>
          <w:rFonts w:cs="Trebuchet MS"/>
        </w:rPr>
        <w:t>e</w:t>
      </w:r>
      <w:r w:rsidR="004C2125">
        <w:rPr>
          <w:rFonts w:cs="Trebuchet MS"/>
        </w:rPr>
        <w:t>rritorial</w:t>
      </w:r>
      <w:r w:rsidR="004465D0" w:rsidRPr="004465D0">
        <w:rPr>
          <w:rFonts w:cs="Trebuchet MS"/>
        </w:rPr>
        <w:t xml:space="preserve"> du Centre de Gestion</w:t>
      </w:r>
      <w:r w:rsidRPr="004465D0">
        <w:rPr>
          <w:rFonts w:cs="Trebuchet MS"/>
        </w:rPr>
        <w:t xml:space="preserve"> </w:t>
      </w:r>
      <w:r w:rsidR="004C2125">
        <w:rPr>
          <w:rFonts w:cs="Trebuchet MS"/>
        </w:rPr>
        <w:t xml:space="preserve">de la Drôme </w:t>
      </w:r>
      <w:r w:rsidRPr="004465D0">
        <w:rPr>
          <w:rFonts w:cs="Trebuchet MS"/>
        </w:rPr>
        <w:t xml:space="preserve">en date du </w:t>
      </w:r>
      <w:r w:rsidR="00E81546" w:rsidRPr="00E81546">
        <w:rPr>
          <w:rFonts w:cs="Trebuchet MS"/>
          <w:highlight w:val="yellow"/>
        </w:rPr>
        <w:t>xx/xx/2024</w:t>
      </w:r>
    </w:p>
    <w:p w:rsidR="00D008A3" w:rsidRDefault="00D008A3" w:rsidP="00D008A3">
      <w:pPr>
        <w:spacing w:after="0" w:line="240" w:lineRule="auto"/>
        <w:ind w:left="567"/>
        <w:jc w:val="both"/>
        <w:rPr>
          <w:rFonts w:cs="Trebuchet MS"/>
        </w:rPr>
      </w:pPr>
    </w:p>
    <w:p w:rsidR="003D4C1D" w:rsidRPr="002828C5" w:rsidRDefault="003D4C1D" w:rsidP="00D008A3">
      <w:pPr>
        <w:spacing w:after="0" w:line="240" w:lineRule="auto"/>
        <w:ind w:left="567"/>
        <w:jc w:val="both"/>
        <w:rPr>
          <w:rFonts w:cs="Trebuchet MS"/>
          <w:b/>
        </w:rPr>
      </w:pPr>
      <w:r w:rsidRPr="002828C5">
        <w:rPr>
          <w:rFonts w:cs="Trebuchet MS"/>
          <w:b/>
        </w:rPr>
        <w:t>Exposé :</w:t>
      </w:r>
    </w:p>
    <w:p w:rsidR="003D4C1D" w:rsidRDefault="003D4C1D" w:rsidP="00D008A3">
      <w:pPr>
        <w:spacing w:after="0" w:line="240" w:lineRule="auto"/>
        <w:ind w:left="567"/>
        <w:jc w:val="both"/>
        <w:rPr>
          <w:rFonts w:cs="Trebuchet MS"/>
        </w:rPr>
      </w:pP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  <w:r w:rsidRPr="003D4C1D">
        <w:rPr>
          <w:rFonts w:cs="Trebuchet MS"/>
        </w:rPr>
        <w:t xml:space="preserve">Les employeurs publics territoriaux </w:t>
      </w:r>
      <w:r>
        <w:rPr>
          <w:rFonts w:cs="Trebuchet MS"/>
        </w:rPr>
        <w:t>devront obligatoirement</w:t>
      </w:r>
      <w:r w:rsidRPr="003D4C1D">
        <w:rPr>
          <w:rFonts w:cs="Trebuchet MS"/>
        </w:rPr>
        <w:t xml:space="preserve"> contribuer au financement des garanties d’assurance de protection sociale complémentaire auxquelles les agents qu'ils emploient souscrivent. Ces garanties ont pour objet de couvrir :</w:t>
      </w: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  <w:r w:rsidRPr="003D4C1D">
        <w:rPr>
          <w:rFonts w:cs="Trebuchet MS"/>
        </w:rPr>
        <w:t>-</w:t>
      </w:r>
      <w:r w:rsidRPr="003D4C1D">
        <w:rPr>
          <w:rFonts w:cs="Trebuchet MS"/>
        </w:rPr>
        <w:tab/>
        <w:t>Le risque santé : frais occasionnés par une maternité, une maladie ou un accident,</w:t>
      </w: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  <w:r w:rsidRPr="003D4C1D">
        <w:rPr>
          <w:rFonts w:cs="Trebuchet MS"/>
        </w:rPr>
        <w:t>-</w:t>
      </w:r>
      <w:r w:rsidRPr="003D4C1D">
        <w:rPr>
          <w:rFonts w:cs="Trebuchet MS"/>
        </w:rPr>
        <w:tab/>
        <w:t>Le risque prévoyance : incapacité de travail, invalidité, inaptitude ou de décès.</w:t>
      </w: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</w:p>
    <w:p w:rsid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  <w:r w:rsidRPr="003D4C1D">
        <w:rPr>
          <w:rFonts w:cs="Trebuchet MS"/>
        </w:rPr>
        <w:t xml:space="preserve">Cette participation deviendra obligatoire pour le risque </w:t>
      </w:r>
      <w:r w:rsidRPr="003D4C1D">
        <w:rPr>
          <w:rFonts w:cs="Trebuchet MS"/>
          <w:b/>
        </w:rPr>
        <w:t>prévoyance</w:t>
      </w:r>
      <w:r w:rsidRPr="003D4C1D">
        <w:rPr>
          <w:rFonts w:cs="Trebuchet MS"/>
        </w:rPr>
        <w:t xml:space="preserve"> à effet du </w:t>
      </w:r>
      <w:r w:rsidRPr="003D4C1D">
        <w:rPr>
          <w:rFonts w:cs="Trebuchet MS"/>
          <w:b/>
        </w:rPr>
        <w:t>1er janvier 2025</w:t>
      </w:r>
      <w:r w:rsidRPr="003D4C1D">
        <w:rPr>
          <w:rFonts w:cs="Trebuchet MS"/>
        </w:rPr>
        <w:t xml:space="preserve"> selon un minimum de 7€ brut mensuel, et pour le risque santé à effet du 1er janvier 2026 selon un minimum de 15€ brut mensuel.</w:t>
      </w:r>
      <w:r w:rsidR="00101EDE">
        <w:rPr>
          <w:rFonts w:cs="Trebuchet MS"/>
        </w:rPr>
        <w:t xml:space="preserve"> </w:t>
      </w:r>
      <w:r w:rsidR="00101EDE" w:rsidRPr="00101EDE">
        <w:rPr>
          <w:rFonts w:cs="Trebuchet MS"/>
        </w:rPr>
        <w:t>La proratisation pour les agents à temps non complet ou à temps partiel n’est pas prévue par les textes en vigueur. La délibération ne peut donc pas prévoir une participation « au prorata du temps de travail ».</w:t>
      </w:r>
    </w:p>
    <w:p w:rsid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</w:p>
    <w:p w:rsidR="002828C5" w:rsidRDefault="002828C5" w:rsidP="002828C5">
      <w:pPr>
        <w:spacing w:after="0" w:line="240" w:lineRule="auto"/>
        <w:jc w:val="both"/>
        <w:rPr>
          <w:rFonts w:cs="Trebuchet MS"/>
        </w:rPr>
      </w:pPr>
    </w:p>
    <w:p w:rsidR="002828C5" w:rsidRDefault="002828C5" w:rsidP="002828C5">
      <w:pPr>
        <w:spacing w:after="0" w:line="240" w:lineRule="auto"/>
        <w:jc w:val="both"/>
        <w:rPr>
          <w:rFonts w:cs="Trebuchet MS"/>
        </w:rPr>
      </w:pPr>
    </w:p>
    <w:p w:rsidR="002828C5" w:rsidRDefault="002828C5" w:rsidP="002828C5">
      <w:pPr>
        <w:spacing w:after="0" w:line="240" w:lineRule="auto"/>
        <w:jc w:val="both"/>
        <w:rPr>
          <w:rFonts w:cs="Trebuchet MS"/>
        </w:rPr>
      </w:pPr>
    </w:p>
    <w:p w:rsidR="002828C5" w:rsidRDefault="002828C5" w:rsidP="002828C5">
      <w:pPr>
        <w:spacing w:after="0" w:line="240" w:lineRule="auto"/>
        <w:jc w:val="both"/>
        <w:rPr>
          <w:rFonts w:cs="Trebuchet MS"/>
        </w:rPr>
      </w:pPr>
    </w:p>
    <w:p w:rsidR="002828C5" w:rsidRDefault="002828C5" w:rsidP="002828C5">
      <w:pPr>
        <w:spacing w:after="0" w:line="240" w:lineRule="auto"/>
        <w:jc w:val="both"/>
        <w:rPr>
          <w:rFonts w:cs="Trebuchet MS"/>
        </w:rPr>
      </w:pPr>
    </w:p>
    <w:p w:rsidR="003D4C1D" w:rsidRPr="003D4C1D" w:rsidRDefault="003D4C1D" w:rsidP="002828C5">
      <w:r w:rsidRPr="003D4C1D">
        <w:t>L'employeur peut opter, pour chacun des risques :</w:t>
      </w: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  <w:r w:rsidRPr="003D4C1D">
        <w:rPr>
          <w:rFonts w:cs="Trebuchet MS"/>
        </w:rPr>
        <w:t>‐</w:t>
      </w:r>
      <w:r w:rsidRPr="003D4C1D">
        <w:rPr>
          <w:rFonts w:cs="Trebuchet MS"/>
        </w:rPr>
        <w:tab/>
        <w:t>soit pour la labellisation. Dans ce cas, l'employeur verse une participation aux agents qui ont adhéré à l'un des produits labellisés, parmi ceux mentionnés sur la liste publiée sur le site internet du ministère chargé des collectivités territoriales,</w:t>
      </w: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  <w:r w:rsidRPr="003D4C1D">
        <w:rPr>
          <w:rFonts w:cs="Trebuchet MS"/>
        </w:rPr>
        <w:t>‐</w:t>
      </w:r>
      <w:r w:rsidRPr="003D4C1D">
        <w:rPr>
          <w:rFonts w:cs="Trebuchet MS"/>
        </w:rPr>
        <w:tab/>
        <w:t>soit pour la convention de participation, associée à un contrat collectif d'assurance, conclue à l'issue d'une procédure d'appel à concurrence spécifique (définie par le décret précité et non soumis à la réglementation relative aux marchés publics), avec un organisme d'assurance bénéficiant de la qualité de mutuelle ou d'union de mutuelles, d'institution de prévoyance ou de société d'assurance. Cette consultation est réalisée :</w:t>
      </w:r>
    </w:p>
    <w:p w:rsidR="003D4C1D" w:rsidRPr="003D4C1D" w:rsidRDefault="003D4C1D" w:rsidP="003D4C1D">
      <w:pPr>
        <w:numPr>
          <w:ilvl w:val="0"/>
          <w:numId w:val="7"/>
        </w:numPr>
        <w:spacing w:after="0" w:line="240" w:lineRule="auto"/>
        <w:jc w:val="both"/>
        <w:rPr>
          <w:rFonts w:cs="Trebuchet MS"/>
        </w:rPr>
      </w:pPr>
      <w:proofErr w:type="gramStart"/>
      <w:r w:rsidRPr="003D4C1D">
        <w:rPr>
          <w:rFonts w:cs="Trebuchet MS"/>
        </w:rPr>
        <w:t>soit</w:t>
      </w:r>
      <w:proofErr w:type="gramEnd"/>
      <w:r w:rsidRPr="003D4C1D">
        <w:rPr>
          <w:rFonts w:cs="Trebuchet MS"/>
        </w:rPr>
        <w:t xml:space="preserve"> par l’employeur,</w:t>
      </w:r>
    </w:p>
    <w:p w:rsidR="003D4C1D" w:rsidRPr="003D4C1D" w:rsidRDefault="003D4C1D" w:rsidP="003D4C1D">
      <w:pPr>
        <w:numPr>
          <w:ilvl w:val="0"/>
          <w:numId w:val="7"/>
        </w:numPr>
        <w:spacing w:after="0" w:line="240" w:lineRule="auto"/>
        <w:jc w:val="both"/>
        <w:rPr>
          <w:rFonts w:cs="Trebuchet MS"/>
        </w:rPr>
      </w:pPr>
      <w:proofErr w:type="gramStart"/>
      <w:r w:rsidRPr="003D4C1D">
        <w:rPr>
          <w:rFonts w:cs="Trebuchet MS"/>
        </w:rPr>
        <w:t>soit</w:t>
      </w:r>
      <w:proofErr w:type="gramEnd"/>
      <w:r w:rsidRPr="003D4C1D">
        <w:rPr>
          <w:rFonts w:cs="Trebuchet MS"/>
        </w:rPr>
        <w:t xml:space="preserve"> par le centre de gestion du ressort de l’employeur.</w:t>
      </w: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</w:p>
    <w:p w:rsidR="003D4C1D" w:rsidRPr="003D4C1D" w:rsidRDefault="00101EDE" w:rsidP="002828C5">
      <w:pPr>
        <w:spacing w:after="0" w:line="240" w:lineRule="auto"/>
        <w:ind w:left="567"/>
        <w:jc w:val="both"/>
        <w:rPr>
          <w:rFonts w:cs="Trebuchet MS"/>
        </w:rPr>
      </w:pPr>
      <w:r>
        <w:rPr>
          <w:rFonts w:cs="Trebuchet MS"/>
        </w:rPr>
        <w:t>L’autorité territoriale</w:t>
      </w:r>
      <w:r w:rsidR="003D4C1D" w:rsidRPr="003D4C1D">
        <w:rPr>
          <w:rFonts w:cs="Trebuchet MS"/>
        </w:rPr>
        <w:t xml:space="preserve"> souhaite, à effet du 1er janvier 202</w:t>
      </w:r>
      <w:r w:rsidR="002828C5">
        <w:rPr>
          <w:rFonts w:cs="Trebuchet MS"/>
        </w:rPr>
        <w:t>5</w:t>
      </w:r>
      <w:r w:rsidR="003D4C1D" w:rsidRPr="003D4C1D">
        <w:rPr>
          <w:rFonts w:cs="Trebuchet MS"/>
        </w:rPr>
        <w:t xml:space="preserve"> :</w:t>
      </w: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  <w:r w:rsidRPr="003D4C1D">
        <w:rPr>
          <w:rFonts w:cs="Trebuchet MS"/>
        </w:rPr>
        <w:t>-</w:t>
      </w:r>
      <w:r w:rsidRPr="003D4C1D">
        <w:rPr>
          <w:rFonts w:cs="Trebuchet MS"/>
        </w:rPr>
        <w:tab/>
        <w:t>Pour le risque prévoyance :</w:t>
      </w:r>
    </w:p>
    <w:p w:rsid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</w:p>
    <w:p w:rsid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  <w:r>
        <w:rPr>
          <w:rFonts w:cs="Trebuchet MS"/>
        </w:rPr>
        <w:t>M</w:t>
      </w:r>
      <w:r w:rsidRPr="003D4C1D">
        <w:rPr>
          <w:rFonts w:cs="Trebuchet MS"/>
        </w:rPr>
        <w:t>ettre en place un régime collectif sur la base d’une convention de participation conclue à l’issue d’un appel</w:t>
      </w:r>
      <w:r w:rsidR="002828C5">
        <w:rPr>
          <w:rFonts w:cs="Trebuchet MS"/>
        </w:rPr>
        <w:t xml:space="preserve"> public</w:t>
      </w:r>
      <w:r w:rsidRPr="003D4C1D">
        <w:rPr>
          <w:rFonts w:cs="Trebuchet MS"/>
        </w:rPr>
        <w:t xml:space="preserve"> à</w:t>
      </w:r>
      <w:r w:rsidR="002828C5">
        <w:rPr>
          <w:rFonts w:cs="Trebuchet MS"/>
        </w:rPr>
        <w:t xml:space="preserve"> la</w:t>
      </w:r>
      <w:r w:rsidRPr="003D4C1D">
        <w:rPr>
          <w:rFonts w:cs="Trebuchet MS"/>
        </w:rPr>
        <w:t xml:space="preserve"> concurrence réglementé par le décret n°2011-1474 précité</w:t>
      </w:r>
      <w:r>
        <w:rPr>
          <w:rFonts w:cs="Trebuchet MS"/>
        </w:rPr>
        <w:t xml:space="preserve">. </w:t>
      </w:r>
      <w:r w:rsidR="002828C5">
        <w:rPr>
          <w:rFonts w:cs="Trebuchet MS"/>
        </w:rPr>
        <w:t xml:space="preserve">Il est proposé d’adhérer au contrat d’assurance collective </w:t>
      </w:r>
      <w:r>
        <w:rPr>
          <w:rFonts w:cs="Trebuchet MS"/>
        </w:rPr>
        <w:t>proposée par le CDG26</w:t>
      </w:r>
      <w:r w:rsidR="002828C5">
        <w:rPr>
          <w:rFonts w:cs="Trebuchet MS"/>
        </w:rPr>
        <w:t xml:space="preserve"> dans le domaine la prévoyance.</w:t>
      </w:r>
      <w:r w:rsidR="006036E1">
        <w:rPr>
          <w:rFonts w:cs="Trebuchet MS"/>
        </w:rPr>
        <w:t xml:space="preserve"> </w:t>
      </w:r>
      <w:r w:rsidR="006036E1" w:rsidRPr="006036E1">
        <w:rPr>
          <w:rFonts w:cs="Trebuchet MS"/>
        </w:rPr>
        <w:t>L</w:t>
      </w:r>
      <w:r w:rsidR="006036E1">
        <w:rPr>
          <w:rFonts w:cs="Trebuchet MS"/>
        </w:rPr>
        <w:t xml:space="preserve">e </w:t>
      </w:r>
      <w:r w:rsidR="00101EDE">
        <w:rPr>
          <w:rFonts w:cs="Trebuchet MS"/>
        </w:rPr>
        <w:t>c</w:t>
      </w:r>
      <w:r w:rsidR="006036E1" w:rsidRPr="006036E1">
        <w:rPr>
          <w:rFonts w:cs="Trebuchet MS"/>
        </w:rPr>
        <w:t xml:space="preserve">onseil </w:t>
      </w:r>
      <w:r w:rsidR="00D53A99">
        <w:rPr>
          <w:rFonts w:cs="Trebuchet MS"/>
        </w:rPr>
        <w:t>municipal</w:t>
      </w:r>
      <w:r w:rsidR="00101EDE">
        <w:rPr>
          <w:rFonts w:cs="Trebuchet MS"/>
        </w:rPr>
        <w:t xml:space="preserve"> </w:t>
      </w:r>
      <w:r w:rsidR="006036E1" w:rsidRPr="006036E1">
        <w:rPr>
          <w:rFonts w:cs="Trebuchet MS"/>
        </w:rPr>
        <w:t>doit également décider du pourcentage retenu pour le maintien du Régime Indemnitaire</w:t>
      </w:r>
      <w:r w:rsidR="006036E1">
        <w:rPr>
          <w:rFonts w:cs="Trebuchet MS"/>
        </w:rPr>
        <w:t xml:space="preserve">. Il est proposé </w:t>
      </w:r>
      <w:r w:rsidR="00D53A99" w:rsidRPr="00D53A99">
        <w:rPr>
          <w:rFonts w:cs="Trebuchet MS"/>
        </w:rPr>
        <w:t>de laisser la possibilité</w:t>
      </w:r>
      <w:r w:rsidR="00D53A99">
        <w:rPr>
          <w:rFonts w:cs="Trebuchet MS"/>
        </w:rPr>
        <w:t xml:space="preserve"> aux agents</w:t>
      </w:r>
      <w:r w:rsidR="00D53A99" w:rsidRPr="00D53A99">
        <w:rPr>
          <w:rFonts w:cs="Trebuchet MS"/>
        </w:rPr>
        <w:t xml:space="preserve"> de couvrir leur régime </w:t>
      </w:r>
      <w:r w:rsidR="001F7AF8">
        <w:rPr>
          <w:rFonts w:cs="Trebuchet MS"/>
        </w:rPr>
        <w:t xml:space="preserve">indemnitaire </w:t>
      </w:r>
      <w:r w:rsidR="00D53A99" w:rsidRPr="00D53A99">
        <w:rPr>
          <w:rFonts w:cs="Trebuchet MS"/>
        </w:rPr>
        <w:t>à hauteur de 47,5% ou 90%</w:t>
      </w:r>
    </w:p>
    <w:p w:rsid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  <w:r>
        <w:rPr>
          <w:rFonts w:cs="Trebuchet MS"/>
        </w:rPr>
        <w:t xml:space="preserve">Toutefois, cette intégration est soumise à un accord </w:t>
      </w:r>
      <w:r w:rsidR="002828C5">
        <w:rPr>
          <w:rFonts w:cs="Trebuchet MS"/>
        </w:rPr>
        <w:t xml:space="preserve">préalable </w:t>
      </w:r>
      <w:r>
        <w:rPr>
          <w:rFonts w:cs="Trebuchet MS"/>
        </w:rPr>
        <w:t xml:space="preserve">de l’assureur </w:t>
      </w:r>
      <w:r w:rsidR="002828C5">
        <w:rPr>
          <w:rFonts w:cs="Trebuchet MS"/>
        </w:rPr>
        <w:t xml:space="preserve">du CDG26 </w:t>
      </w:r>
      <w:r>
        <w:rPr>
          <w:rFonts w:cs="Trebuchet MS"/>
        </w:rPr>
        <w:t xml:space="preserve">qui ne peut, à cette heure, être considérée comme </w:t>
      </w:r>
      <w:r w:rsidR="002828C5">
        <w:rPr>
          <w:rFonts w:cs="Trebuchet MS"/>
        </w:rPr>
        <w:t xml:space="preserve">définitivement </w:t>
      </w:r>
      <w:r>
        <w:rPr>
          <w:rFonts w:cs="Trebuchet MS"/>
        </w:rPr>
        <w:t>valid</w:t>
      </w:r>
      <w:r w:rsidR="002828C5">
        <w:rPr>
          <w:rFonts w:cs="Trebuchet MS"/>
        </w:rPr>
        <w:t>é</w:t>
      </w:r>
      <w:r>
        <w:rPr>
          <w:rFonts w:cs="Trebuchet MS"/>
        </w:rPr>
        <w:t xml:space="preserve">. Aussi, dans le cas où l’assureur refuserait l’adhésion de notre commune, </w:t>
      </w:r>
      <w:r w:rsidR="00E12269">
        <w:rPr>
          <w:rFonts w:cs="Trebuchet MS"/>
        </w:rPr>
        <w:t>il sera alors décidé de participer à la prévoyance des agents par le biais de contrats individuels labellisé</w:t>
      </w:r>
      <w:r w:rsidR="002828C5">
        <w:rPr>
          <w:rFonts w:cs="Trebuchet MS"/>
        </w:rPr>
        <w:t>s dès le 1</w:t>
      </w:r>
      <w:r w:rsidR="002828C5" w:rsidRPr="002828C5">
        <w:rPr>
          <w:rFonts w:cs="Trebuchet MS"/>
          <w:vertAlign w:val="superscript"/>
        </w:rPr>
        <w:t>er</w:t>
      </w:r>
      <w:r w:rsidR="002828C5">
        <w:rPr>
          <w:rFonts w:cs="Trebuchet MS"/>
        </w:rPr>
        <w:t xml:space="preserve"> janvier 2025.</w:t>
      </w: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</w:p>
    <w:p w:rsidR="003D4C1D" w:rsidRPr="002828C5" w:rsidRDefault="003D4C1D" w:rsidP="003D4C1D">
      <w:pPr>
        <w:spacing w:after="0" w:line="240" w:lineRule="auto"/>
        <w:ind w:left="567"/>
        <w:jc w:val="both"/>
        <w:rPr>
          <w:rFonts w:cs="Trebuchet MS"/>
          <w:b/>
        </w:rPr>
      </w:pPr>
      <w:r w:rsidRPr="002828C5">
        <w:rPr>
          <w:rFonts w:cs="Trebuchet MS"/>
          <w:b/>
        </w:rPr>
        <w:t xml:space="preserve">Délibération : </w:t>
      </w: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  <w:r w:rsidRPr="003D4C1D">
        <w:rPr>
          <w:rFonts w:cs="Trebuchet MS"/>
        </w:rPr>
        <w:t>PSC risque prévoyance :</w:t>
      </w: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  <w:r w:rsidRPr="003D4C1D">
        <w:rPr>
          <w:rFonts w:cs="Trebuchet MS"/>
        </w:rPr>
        <w:t>Le conseil, après en avoir délibéré, décide :</w:t>
      </w: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  <w:r w:rsidRPr="003D4C1D">
        <w:rPr>
          <w:rFonts w:cs="Trebuchet MS"/>
        </w:rPr>
        <w:t>-</w:t>
      </w:r>
      <w:r w:rsidRPr="003D4C1D">
        <w:rPr>
          <w:rFonts w:cs="Trebuchet MS"/>
        </w:rPr>
        <w:tab/>
        <w:t>Article 1 : de retenir la procédure de la convention de participation, avec son contrat d’assurance collective à adhésion facultative des agents, selon la procédure d’appel à concurrence organisée par le centre de gestion départemental de la fonction publique territoriale</w:t>
      </w:r>
      <w:r w:rsidR="002828C5">
        <w:rPr>
          <w:rFonts w:cs="Trebuchet MS"/>
        </w:rPr>
        <w:t xml:space="preserve"> de la Drôme</w:t>
      </w:r>
      <w:r w:rsidR="00093E4F">
        <w:rPr>
          <w:rFonts w:cs="Trebuchet MS"/>
        </w:rPr>
        <w:t xml:space="preserve"> à compter du 1</w:t>
      </w:r>
      <w:r w:rsidR="00093E4F" w:rsidRPr="00093E4F">
        <w:rPr>
          <w:rFonts w:cs="Trebuchet MS"/>
          <w:vertAlign w:val="superscript"/>
        </w:rPr>
        <w:t>er</w:t>
      </w:r>
      <w:r w:rsidR="00093E4F">
        <w:rPr>
          <w:rFonts w:cs="Trebuchet MS"/>
        </w:rPr>
        <w:t xml:space="preserve"> janvier 2025.</w:t>
      </w: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  <w:r w:rsidRPr="003D4C1D">
        <w:rPr>
          <w:rFonts w:cs="Trebuchet MS"/>
        </w:rPr>
        <w:t>-</w:t>
      </w:r>
      <w:r w:rsidRPr="003D4C1D">
        <w:rPr>
          <w:rFonts w:cs="Trebuchet MS"/>
        </w:rPr>
        <w:tab/>
        <w:t xml:space="preserve">Article 2 : d’accorder une participation aux fonctionnaires et agents contractuels de droit public et de droit privé dans l’effectif qui adhèreront au contrat collectif d’assurance </w:t>
      </w:r>
      <w:r w:rsidR="00C55AE5">
        <w:rPr>
          <w:rFonts w:cs="Trebuchet MS"/>
        </w:rPr>
        <w:t xml:space="preserve">proposé par le CDG26 </w:t>
      </w:r>
      <w:r w:rsidR="006036E1">
        <w:rPr>
          <w:rFonts w:cs="Trebuchet MS"/>
        </w:rPr>
        <w:t xml:space="preserve">et de laisser la possibilité </w:t>
      </w:r>
      <w:r w:rsidR="001F7AF8">
        <w:rPr>
          <w:rFonts w:cs="Trebuchet MS"/>
        </w:rPr>
        <w:t xml:space="preserve">aux agents </w:t>
      </w:r>
      <w:r w:rsidR="006036E1">
        <w:rPr>
          <w:rFonts w:cs="Trebuchet MS"/>
        </w:rPr>
        <w:t xml:space="preserve">de couvrir leur régime </w:t>
      </w:r>
      <w:r w:rsidR="001F7AF8">
        <w:rPr>
          <w:rFonts w:cs="Trebuchet MS"/>
        </w:rPr>
        <w:t xml:space="preserve">indemnitaire </w:t>
      </w:r>
      <w:r w:rsidR="006036E1">
        <w:rPr>
          <w:rFonts w:cs="Trebuchet MS"/>
        </w:rPr>
        <w:t xml:space="preserve">à hauteur de 47,5% ou 90% </w:t>
      </w:r>
      <w:r w:rsidRPr="003D4C1D">
        <w:rPr>
          <w:rFonts w:cs="Trebuchet MS"/>
        </w:rPr>
        <w:t>(à compléter éventuellement de l’inscription au budget du montant du crédit annuel calculé en fonction des taux d’adhésion prévisionnel).</w:t>
      </w:r>
      <w:bookmarkStart w:id="0" w:name="_GoBack"/>
      <w:bookmarkEnd w:id="0"/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</w:p>
    <w:p w:rsidR="006A776B" w:rsidRDefault="003D4C1D" w:rsidP="006A776B">
      <w:pPr>
        <w:spacing w:after="0" w:line="240" w:lineRule="auto"/>
        <w:ind w:left="567"/>
        <w:jc w:val="both"/>
        <w:rPr>
          <w:rFonts w:cs="Trebuchet MS"/>
        </w:rPr>
      </w:pPr>
      <w:r w:rsidRPr="003D4C1D">
        <w:rPr>
          <w:rFonts w:cs="Trebuchet MS"/>
        </w:rPr>
        <w:t>-</w:t>
      </w:r>
      <w:r w:rsidRPr="003D4C1D">
        <w:rPr>
          <w:rFonts w:cs="Trebuchet MS"/>
        </w:rPr>
        <w:tab/>
        <w:t xml:space="preserve">Article 3 : de fixer le niveau de participation comme suit </w:t>
      </w:r>
      <w:r w:rsidR="00093E4F">
        <w:rPr>
          <w:rFonts w:cs="Trebuchet MS"/>
        </w:rPr>
        <w:t>à compter du 1</w:t>
      </w:r>
      <w:r w:rsidR="00093E4F" w:rsidRPr="00093E4F">
        <w:rPr>
          <w:rFonts w:cs="Trebuchet MS"/>
          <w:vertAlign w:val="superscript"/>
        </w:rPr>
        <w:t>er</w:t>
      </w:r>
      <w:r w:rsidR="00093E4F">
        <w:rPr>
          <w:rFonts w:cs="Trebuchet MS"/>
        </w:rPr>
        <w:t xml:space="preserve"> janvier 2025 </w:t>
      </w:r>
      <w:r w:rsidRPr="003D4C1D">
        <w:rPr>
          <w:rFonts w:cs="Trebuchet MS"/>
        </w:rPr>
        <w:t>:</w:t>
      </w:r>
      <w:r w:rsidR="006A776B">
        <w:rPr>
          <w:rFonts w:cs="Trebuchet MS"/>
        </w:rPr>
        <w:t xml:space="preserve"> </w:t>
      </w:r>
    </w:p>
    <w:p w:rsidR="003D4C1D" w:rsidRPr="003D4C1D" w:rsidRDefault="006A776B" w:rsidP="006A776B">
      <w:pPr>
        <w:spacing w:after="0" w:line="240" w:lineRule="auto"/>
        <w:ind w:left="567"/>
        <w:jc w:val="both"/>
        <w:rPr>
          <w:rFonts w:cs="Trebuchet MS"/>
        </w:rPr>
      </w:pPr>
      <w:proofErr w:type="gramStart"/>
      <w:r>
        <w:rPr>
          <w:rFonts w:cs="Trebuchet MS"/>
        </w:rPr>
        <w:t>v</w:t>
      </w:r>
      <w:r w:rsidR="003D4C1D" w:rsidRPr="003D4C1D">
        <w:rPr>
          <w:rFonts w:cs="Trebuchet MS"/>
        </w:rPr>
        <w:t>ersement</w:t>
      </w:r>
      <w:proofErr w:type="gramEnd"/>
      <w:r w:rsidR="003D4C1D" w:rsidRPr="003D4C1D">
        <w:rPr>
          <w:rFonts w:cs="Trebuchet MS"/>
        </w:rPr>
        <w:t xml:space="preserve"> d’un montant unitaire mensuel brut de : A COMPLETER € par agent</w:t>
      </w:r>
    </w:p>
    <w:p w:rsidR="00E12269" w:rsidRDefault="00E12269" w:rsidP="003D4C1D">
      <w:pPr>
        <w:spacing w:after="0" w:line="240" w:lineRule="auto"/>
        <w:ind w:left="567"/>
        <w:jc w:val="both"/>
        <w:rPr>
          <w:rFonts w:cs="Trebuchet MS"/>
        </w:rPr>
      </w:pPr>
    </w:p>
    <w:p w:rsidR="00E12269" w:rsidRPr="003D4C1D" w:rsidRDefault="00E12269" w:rsidP="003D4C1D">
      <w:pPr>
        <w:spacing w:after="0" w:line="240" w:lineRule="auto"/>
        <w:ind w:left="567"/>
        <w:jc w:val="both"/>
        <w:rPr>
          <w:rFonts w:cs="Trebuchet MS"/>
        </w:rPr>
      </w:pPr>
      <w:r w:rsidRPr="003D4C1D">
        <w:rPr>
          <w:rFonts w:cs="Trebuchet MS"/>
        </w:rPr>
        <w:t>-</w:t>
      </w:r>
      <w:r w:rsidRPr="003D4C1D">
        <w:rPr>
          <w:rFonts w:cs="Trebuchet MS"/>
        </w:rPr>
        <w:tab/>
        <w:t xml:space="preserve">Article </w:t>
      </w:r>
      <w:r>
        <w:rPr>
          <w:rFonts w:cs="Trebuchet MS"/>
        </w:rPr>
        <w:t>4</w:t>
      </w:r>
      <w:r w:rsidRPr="003D4C1D">
        <w:rPr>
          <w:rFonts w:cs="Trebuchet MS"/>
        </w:rPr>
        <w:t xml:space="preserve"> :</w:t>
      </w:r>
      <w:r>
        <w:rPr>
          <w:rFonts w:cs="Trebuchet MS"/>
        </w:rPr>
        <w:t xml:space="preserve"> En cas de refus d’adhésion de la part de l’assureur du contrat collectif du CDG26, les dispositions prévues aux articles 1, 2 et 3 ci-dessus </w:t>
      </w:r>
      <w:r w:rsidR="00C55AE5">
        <w:rPr>
          <w:rFonts w:cs="Trebuchet MS"/>
        </w:rPr>
        <w:t>s’appliqueront à l’identique</w:t>
      </w:r>
      <w:r>
        <w:rPr>
          <w:rFonts w:cs="Trebuchet MS"/>
        </w:rPr>
        <w:t xml:space="preserve"> par une participation à des contrats individuels labellisés en lieu et place du contrat d’assurance collective du CDG26.</w:t>
      </w:r>
    </w:p>
    <w:p w:rsidR="003D4C1D" w:rsidRPr="003D4C1D" w:rsidRDefault="003D4C1D" w:rsidP="003D4C1D">
      <w:pPr>
        <w:spacing w:after="0" w:line="240" w:lineRule="auto"/>
        <w:ind w:left="567"/>
        <w:jc w:val="both"/>
        <w:rPr>
          <w:rFonts w:cs="Trebuchet MS"/>
        </w:rPr>
      </w:pPr>
    </w:p>
    <w:p w:rsidR="005F4C82" w:rsidRDefault="003D4C1D" w:rsidP="00C55AE5">
      <w:pPr>
        <w:spacing w:after="0" w:line="240" w:lineRule="auto"/>
        <w:ind w:left="567"/>
        <w:jc w:val="both"/>
        <w:rPr>
          <w:rFonts w:cs="Trebuchet MS"/>
          <w:highlight w:val="yellow"/>
        </w:rPr>
      </w:pPr>
      <w:r w:rsidRPr="003D4C1D">
        <w:rPr>
          <w:rFonts w:cs="Trebuchet MS"/>
        </w:rPr>
        <w:t>-</w:t>
      </w:r>
      <w:r w:rsidRPr="003D4C1D">
        <w:rPr>
          <w:rFonts w:cs="Trebuchet MS"/>
        </w:rPr>
        <w:tab/>
        <w:t xml:space="preserve">Article </w:t>
      </w:r>
      <w:r w:rsidR="001162DA">
        <w:rPr>
          <w:rFonts w:cs="Trebuchet MS"/>
        </w:rPr>
        <w:t>5</w:t>
      </w:r>
      <w:r w:rsidRPr="003D4C1D">
        <w:rPr>
          <w:rFonts w:cs="Trebuchet MS"/>
        </w:rPr>
        <w:t xml:space="preserve"> : d’autoriser le Président/Maire pour effectuer tout acte en découlant, </w:t>
      </w:r>
      <w:r w:rsidR="002828C5" w:rsidRPr="002828C5">
        <w:rPr>
          <w:rFonts w:cs="Trebuchet MS"/>
          <w:highlight w:val="yellow"/>
        </w:rPr>
        <w:t>(</w:t>
      </w:r>
      <w:r w:rsidRPr="002828C5">
        <w:rPr>
          <w:rFonts w:cs="Trebuchet MS"/>
          <w:highlight w:val="yellow"/>
        </w:rPr>
        <w:t>et notamment le lancement de la consultation par appel public à concurrence prévu selon les termes de l‘article 15 du décret n° 2011-1474.</w:t>
      </w:r>
      <w:r w:rsidR="002828C5" w:rsidRPr="002828C5">
        <w:rPr>
          <w:rFonts w:cs="Trebuchet MS"/>
          <w:highlight w:val="yellow"/>
        </w:rPr>
        <w:t>)</w:t>
      </w:r>
    </w:p>
    <w:p w:rsidR="00C55AE5" w:rsidRDefault="00C55AE5" w:rsidP="00C55AE5">
      <w:pPr>
        <w:spacing w:after="0" w:line="240" w:lineRule="auto"/>
        <w:ind w:left="567"/>
        <w:jc w:val="both"/>
        <w:rPr>
          <w:bCs/>
          <w:sz w:val="24"/>
        </w:rPr>
      </w:pPr>
    </w:p>
    <w:p w:rsidR="00B94D67" w:rsidRDefault="00B94D67" w:rsidP="00064E86">
      <w:pPr>
        <w:spacing w:after="0"/>
        <w:ind w:left="567"/>
        <w:jc w:val="both"/>
        <w:rPr>
          <w:rFonts w:eastAsia="Arial" w:cs="Calibri"/>
          <w:iCs/>
          <w:color w:val="000000"/>
        </w:rPr>
      </w:pPr>
      <w:r>
        <w:rPr>
          <w:rFonts w:eastAsia="Arial" w:cs="Calibri"/>
          <w:iCs/>
          <w:color w:val="000000"/>
        </w:rPr>
        <w:t>Fait</w:t>
      </w:r>
      <w:r w:rsidR="00064E86">
        <w:rPr>
          <w:rFonts w:eastAsia="Arial" w:cs="Calibri"/>
          <w:iCs/>
          <w:color w:val="000000"/>
        </w:rPr>
        <w:t xml:space="preserve"> et délibéré </w:t>
      </w:r>
      <w:r>
        <w:rPr>
          <w:rFonts w:eastAsia="Arial" w:cs="Calibri"/>
          <w:iCs/>
          <w:color w:val="000000"/>
        </w:rPr>
        <w:t>à …</w:t>
      </w:r>
      <w:proofErr w:type="gramStart"/>
      <w:r>
        <w:rPr>
          <w:rFonts w:eastAsia="Arial" w:cs="Calibri"/>
          <w:iCs/>
          <w:color w:val="000000"/>
        </w:rPr>
        <w:t>…….</w:t>
      </w:r>
      <w:proofErr w:type="gramEnd"/>
      <w:r>
        <w:rPr>
          <w:rFonts w:eastAsia="Arial" w:cs="Calibri"/>
          <w:iCs/>
          <w:color w:val="000000"/>
        </w:rPr>
        <w:t xml:space="preserve">…………. </w:t>
      </w:r>
      <w:proofErr w:type="gramStart"/>
      <w:r>
        <w:rPr>
          <w:rFonts w:eastAsia="Arial" w:cs="Calibri"/>
          <w:iCs/>
          <w:color w:val="000000"/>
        </w:rPr>
        <w:t>le</w:t>
      </w:r>
      <w:proofErr w:type="gramEnd"/>
      <w:r>
        <w:rPr>
          <w:rFonts w:eastAsia="Arial" w:cs="Calibri"/>
          <w:iCs/>
          <w:color w:val="000000"/>
        </w:rPr>
        <w:t xml:space="preserve"> ……………. </w:t>
      </w:r>
    </w:p>
    <w:p w:rsidR="00B94D67" w:rsidRDefault="00B94D67" w:rsidP="00064E86">
      <w:pPr>
        <w:spacing w:after="0"/>
        <w:ind w:left="567"/>
        <w:jc w:val="both"/>
        <w:rPr>
          <w:rFonts w:eastAsia="Arial" w:cs="Calibri"/>
          <w:iCs/>
          <w:color w:val="000000"/>
        </w:rPr>
      </w:pPr>
      <w:r>
        <w:rPr>
          <w:rFonts w:eastAsia="Arial" w:cs="Calibri"/>
          <w:iCs/>
          <w:color w:val="000000"/>
        </w:rPr>
        <w:t>(NOM, Prénom et qualité du signataire)</w:t>
      </w:r>
    </w:p>
    <w:p w:rsidR="00064E86" w:rsidRDefault="00B94D67" w:rsidP="00064E86">
      <w:pPr>
        <w:spacing w:after="0"/>
        <w:ind w:left="567"/>
        <w:jc w:val="both"/>
        <w:rPr>
          <w:rFonts w:eastAsia="Arial" w:cs="Calibri"/>
          <w:iCs/>
          <w:color w:val="000000"/>
        </w:rPr>
      </w:pPr>
      <w:r>
        <w:rPr>
          <w:rFonts w:eastAsia="Arial" w:cs="Calibri"/>
          <w:iCs/>
          <w:color w:val="000000"/>
        </w:rPr>
        <w:lastRenderedPageBreak/>
        <w:t xml:space="preserve">Certifié exécutoire compte tenu de la transmission au représentant de l'Etat le ……………. </w:t>
      </w:r>
    </w:p>
    <w:p w:rsidR="00B94D67" w:rsidRPr="00FC1C25" w:rsidRDefault="00B94D67" w:rsidP="00064E86">
      <w:pPr>
        <w:spacing w:after="0"/>
        <w:ind w:left="567"/>
        <w:jc w:val="both"/>
      </w:pPr>
      <w:proofErr w:type="gramStart"/>
      <w:r>
        <w:rPr>
          <w:rFonts w:eastAsia="Arial" w:cs="Calibri"/>
          <w:iCs/>
          <w:color w:val="000000"/>
        </w:rPr>
        <w:t>et</w:t>
      </w:r>
      <w:proofErr w:type="gramEnd"/>
      <w:r>
        <w:rPr>
          <w:rFonts w:eastAsia="Arial" w:cs="Calibri"/>
          <w:iCs/>
          <w:color w:val="000000"/>
        </w:rPr>
        <w:t xml:space="preserve"> de la publication le …………………</w:t>
      </w:r>
    </w:p>
    <w:sectPr w:rsidR="00B94D67" w:rsidRPr="00FC1C25" w:rsidSect="00D365A4">
      <w:headerReference w:type="default" r:id="rId8"/>
      <w:headerReference w:type="first" r:id="rId9"/>
      <w:type w:val="continuous"/>
      <w:pgSz w:w="11906" w:h="16838" w:code="9"/>
      <w:pgMar w:top="720" w:right="720" w:bottom="567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1A4" w:rsidRDefault="00DF61A4" w:rsidP="0029670F">
      <w:pPr>
        <w:spacing w:after="0" w:line="240" w:lineRule="auto"/>
      </w:pPr>
      <w:r>
        <w:separator/>
      </w:r>
    </w:p>
  </w:endnote>
  <w:endnote w:type="continuationSeparator" w:id="0">
    <w:p w:rsidR="00DF61A4" w:rsidRDefault="00DF61A4" w:rsidP="0029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1A4" w:rsidRDefault="00DF61A4" w:rsidP="0029670F">
      <w:pPr>
        <w:spacing w:after="0" w:line="240" w:lineRule="auto"/>
      </w:pPr>
      <w:r>
        <w:separator/>
      </w:r>
    </w:p>
  </w:footnote>
  <w:footnote w:type="continuationSeparator" w:id="0">
    <w:p w:rsidR="00DF61A4" w:rsidRDefault="00DF61A4" w:rsidP="0029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C81" w:rsidRDefault="007E6C81" w:rsidP="0029670F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C81" w:rsidRPr="003814A6" w:rsidRDefault="0079263B" w:rsidP="002C7975">
    <w:pPr>
      <w:pStyle w:val="En-tte"/>
      <w:tabs>
        <w:tab w:val="clear" w:pos="4536"/>
        <w:tab w:val="clear" w:pos="9072"/>
        <w:tab w:val="center" w:pos="5812"/>
      </w:tabs>
      <w:spacing w:after="0"/>
      <w:ind w:left="5812"/>
      <w:jc w:val="right"/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3705860</wp:posOffset>
              </wp:positionH>
              <wp:positionV relativeFrom="paragraph">
                <wp:posOffset>104140</wp:posOffset>
              </wp:positionV>
              <wp:extent cx="3150870" cy="402590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0870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E6C81" w:rsidRPr="000D6A14" w:rsidRDefault="007E6C81" w:rsidP="00402421">
                          <w:pPr>
                            <w:jc w:val="center"/>
                            <w:rPr>
                              <w:rFonts w:ascii="Century Gothic" w:hAnsi="Century Gothic"/>
                              <w:noProof/>
                              <w:color w:val="FFFFFF"/>
                              <w:sz w:val="40"/>
                              <w:szCs w:val="72"/>
                            </w:rPr>
                          </w:pPr>
                          <w:r w:rsidRPr="000D6A14">
                            <w:rPr>
                              <w:rFonts w:ascii="Century Gothic" w:hAnsi="Century Gothic"/>
                              <w:b/>
                              <w:noProof/>
                              <w:color w:val="FFFFFF"/>
                              <w:sz w:val="40"/>
                              <w:szCs w:val="72"/>
                            </w:rPr>
                            <w:t>C</w:t>
                          </w:r>
                          <w:r w:rsidRPr="000D6A14">
                            <w:rPr>
                              <w:rFonts w:ascii="Century Gothic" w:hAnsi="Century Gothic"/>
                              <w:noProof/>
                              <w:color w:val="FFFFFF"/>
                              <w:sz w:val="40"/>
                              <w:szCs w:val="72"/>
                            </w:rPr>
                            <w:t>onseil d’</w:t>
                          </w:r>
                          <w:r w:rsidRPr="000D6A14">
                            <w:rPr>
                              <w:rFonts w:ascii="Century Gothic" w:hAnsi="Century Gothic"/>
                              <w:b/>
                              <w:noProof/>
                              <w:color w:val="FFFFFF"/>
                              <w:sz w:val="40"/>
                              <w:szCs w:val="72"/>
                            </w:rPr>
                            <w:t>A</w:t>
                          </w:r>
                          <w:r w:rsidRPr="000D6A14">
                            <w:rPr>
                              <w:rFonts w:ascii="Century Gothic" w:hAnsi="Century Gothic"/>
                              <w:noProof/>
                              <w:color w:val="FFFFFF"/>
                              <w:sz w:val="40"/>
                              <w:szCs w:val="72"/>
                            </w:rPr>
                            <w:t>dministration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291.8pt;margin-top:8.2pt;width:248.1pt;height:31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" filled="f" stroked="f">
              <v:textbox style="mso-fit-shape-to-text:t">
                <w:txbxContent>
                  <w:p w:rsidR="007E6C81" w:rsidRPr="000D6A14" w:rsidRDefault="007E6C81" w:rsidP="00402421">
                    <w:pPr>
                      <w:pStyle w:val="Grilledutableau"/>
                      <w:jc w:val="center"/>
                      <w:rPr>
                        <w:rFonts w:ascii="Century Gothic" w:hAnsi="Century Gothic"/>
                        <w:noProof/>
                        <w:color w:val="FFFFFF"/>
                        <w:sz w:val="40"/>
                        <w:szCs w:val="72"/>
                      </w:rPr>
                    </w:pPr>
                    <w:r w:rsidRPr="000D6A14">
                      <w:rPr>
                        <w:rFonts w:ascii="Century Gothic" w:hAnsi="Century Gothic"/>
                        <w:b/>
                        <w:noProof/>
                        <w:color w:val="FFFFFF"/>
                        <w:sz w:val="40"/>
                        <w:szCs w:val="72"/>
                      </w:rPr>
                      <w:t>C</w:t>
                    </w:r>
                    <w:r w:rsidRPr="000D6A14">
                      <w:rPr>
                        <w:rFonts w:ascii="Century Gothic" w:hAnsi="Century Gothic"/>
                        <w:noProof/>
                        <w:color w:val="FFFFFF"/>
                        <w:sz w:val="40"/>
                        <w:szCs w:val="72"/>
                      </w:rPr>
                      <w:t>onseil d’</w:t>
                    </w:r>
                    <w:r w:rsidRPr="000D6A14">
                      <w:rPr>
                        <w:rFonts w:ascii="Century Gothic" w:hAnsi="Century Gothic"/>
                        <w:b/>
                        <w:noProof/>
                        <w:color w:val="FFFFFF"/>
                        <w:sz w:val="40"/>
                        <w:szCs w:val="72"/>
                      </w:rPr>
                      <w:t>A</w:t>
                    </w:r>
                    <w:r w:rsidRPr="000D6A14">
                      <w:rPr>
                        <w:rFonts w:ascii="Century Gothic" w:hAnsi="Century Gothic"/>
                        <w:noProof/>
                        <w:color w:val="FFFFFF"/>
                        <w:sz w:val="40"/>
                        <w:szCs w:val="72"/>
                      </w:rPr>
                      <w:t>dministration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4330065</wp:posOffset>
              </wp:positionH>
              <wp:positionV relativeFrom="paragraph">
                <wp:posOffset>209550</wp:posOffset>
              </wp:positionV>
              <wp:extent cx="2519045" cy="309245"/>
              <wp:effectExtent l="0" t="0" r="0" b="0"/>
              <wp:wrapNone/>
              <wp:docPr id="13" name="Zone de text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904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E6C81" w:rsidRPr="006A22D5" w:rsidRDefault="007E6C81" w:rsidP="00402421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noProof/>
                              <w:color w:val="FFFFFF"/>
                              <w:sz w:val="28"/>
                              <w:szCs w:val="72"/>
                            </w:rPr>
                          </w:pPr>
                          <w:r w:rsidRPr="006A22D5">
                            <w:rPr>
                              <w:rFonts w:ascii="Century Gothic" w:hAnsi="Century Gothic"/>
                              <w:b/>
                              <w:noProof/>
                              <w:color w:val="FFFFFF"/>
                              <w:sz w:val="28"/>
                              <w:szCs w:val="72"/>
                            </w:rPr>
                            <w:t xml:space="preserve">du </w:t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color w:val="FFFFFF"/>
                              <w:sz w:val="28"/>
                              <w:szCs w:val="72"/>
                            </w:rPr>
                            <w:t>mercredi 28 février 2018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13" o:spid="_x0000_s1027" type="#_x0000_t202" style="position:absolute;left:0;text-align:left;margin-left:340.95pt;margin-top:16.5pt;width:198.35pt;height:24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" filled="f" stroked="f">
              <v:textbox style="mso-fit-shape-to-text:t">
                <w:txbxContent>
                  <w:p w:rsidR="007E6C81" w:rsidRPr="006A22D5" w:rsidRDefault="007E6C81" w:rsidP="00402421">
                    <w:pPr>
                      <w:pStyle w:val="Grilledutableau"/>
                      <w:jc w:val="right"/>
                      <w:rPr>
                        <w:rFonts w:ascii="Century Gothic" w:hAnsi="Century Gothic"/>
                        <w:b/>
                        <w:noProof/>
                        <w:color w:val="FFFFFF"/>
                        <w:sz w:val="28"/>
                        <w:szCs w:val="72"/>
                      </w:rPr>
                    </w:pPr>
                    <w:r w:rsidRPr="006A22D5">
                      <w:rPr>
                        <w:rFonts w:ascii="Century Gothic" w:hAnsi="Century Gothic"/>
                        <w:b/>
                        <w:noProof/>
                        <w:color w:val="FFFFFF"/>
                        <w:sz w:val="28"/>
                        <w:szCs w:val="72"/>
                      </w:rPr>
                      <w:t xml:space="preserve">du </w:t>
                    </w:r>
                    <w:r>
                      <w:rPr>
                        <w:rFonts w:ascii="Century Gothic" w:hAnsi="Century Gothic"/>
                        <w:b/>
                        <w:noProof/>
                        <w:color w:val="FFFFFF"/>
                        <w:sz w:val="28"/>
                        <w:szCs w:val="72"/>
                      </w:rPr>
                      <w:t>mercredi 28 février 2018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5_"/>
      </v:shape>
    </w:pict>
  </w:numPicBullet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B6F4035"/>
    <w:multiLevelType w:val="hybridMultilevel"/>
    <w:tmpl w:val="3CBA1FF2"/>
    <w:lvl w:ilvl="0" w:tplc="D2EAF050">
      <w:numFmt w:val="bullet"/>
      <w:lvlText w:val="-"/>
      <w:lvlJc w:val="left"/>
      <w:pPr>
        <w:ind w:left="927" w:hanging="360"/>
      </w:pPr>
      <w:rPr>
        <w:rFonts w:ascii="Calibri" w:eastAsia="Calibri" w:hAnsi="Calibri" w:cs="Trebuchet MS" w:hint="default"/>
      </w:rPr>
    </w:lvl>
    <w:lvl w:ilvl="1" w:tplc="780E3F7C">
      <w:start w:val="8"/>
      <w:numFmt w:val="bullet"/>
      <w:lvlText w:val=""/>
      <w:lvlJc w:val="left"/>
      <w:pPr>
        <w:ind w:left="1647" w:hanging="360"/>
      </w:pPr>
      <w:rPr>
        <w:rFonts w:ascii="Symbol" w:eastAsia="Times New Roman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0381B85"/>
    <w:multiLevelType w:val="hybridMultilevel"/>
    <w:tmpl w:val="FFEE08E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96F1A08"/>
    <w:multiLevelType w:val="hybridMultilevel"/>
    <w:tmpl w:val="AAB46BEA"/>
    <w:lvl w:ilvl="0" w:tplc="2ABCF546">
      <w:start w:val="1"/>
      <w:numFmt w:val="bullet"/>
      <w:lvlText w:val="-"/>
      <w:lvlJc w:val="left"/>
      <w:pPr>
        <w:ind w:left="1996" w:hanging="360"/>
      </w:pPr>
      <w:rPr>
        <w:rFonts w:ascii="Arial" w:hAnsi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50A469C1"/>
    <w:multiLevelType w:val="hybridMultilevel"/>
    <w:tmpl w:val="EF703F48"/>
    <w:lvl w:ilvl="0" w:tplc="00000003">
      <w:numFmt w:val="bullet"/>
      <w:lvlText w:val="-"/>
      <w:lvlJc w:val="left"/>
      <w:pPr>
        <w:ind w:left="1287" w:hanging="360"/>
      </w:pPr>
      <w:rPr>
        <w:rFonts w:ascii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AC9609A"/>
    <w:multiLevelType w:val="hybridMultilevel"/>
    <w:tmpl w:val="A1409920"/>
    <w:lvl w:ilvl="0" w:tplc="E82ED1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30"/>
    <w:rsid w:val="00015BDF"/>
    <w:rsid w:val="00024051"/>
    <w:rsid w:val="000267DD"/>
    <w:rsid w:val="00030D27"/>
    <w:rsid w:val="0003569A"/>
    <w:rsid w:val="00040EF7"/>
    <w:rsid w:val="000437E4"/>
    <w:rsid w:val="0004399D"/>
    <w:rsid w:val="00050102"/>
    <w:rsid w:val="00050DE3"/>
    <w:rsid w:val="000621E2"/>
    <w:rsid w:val="00063AFB"/>
    <w:rsid w:val="00064E86"/>
    <w:rsid w:val="000652B7"/>
    <w:rsid w:val="00065D43"/>
    <w:rsid w:val="00071D76"/>
    <w:rsid w:val="00074703"/>
    <w:rsid w:val="00077A61"/>
    <w:rsid w:val="00087D76"/>
    <w:rsid w:val="0009264B"/>
    <w:rsid w:val="00093E4F"/>
    <w:rsid w:val="00096FB6"/>
    <w:rsid w:val="000A1561"/>
    <w:rsid w:val="000A1FA0"/>
    <w:rsid w:val="000A2AFD"/>
    <w:rsid w:val="000A6895"/>
    <w:rsid w:val="000A6CF2"/>
    <w:rsid w:val="000B5640"/>
    <w:rsid w:val="000B60AD"/>
    <w:rsid w:val="000B7161"/>
    <w:rsid w:val="000C151D"/>
    <w:rsid w:val="000C50A7"/>
    <w:rsid w:val="000C7128"/>
    <w:rsid w:val="000C71BC"/>
    <w:rsid w:val="000C76F6"/>
    <w:rsid w:val="000C7C1E"/>
    <w:rsid w:val="000D05DF"/>
    <w:rsid w:val="000D0FD7"/>
    <w:rsid w:val="000D116A"/>
    <w:rsid w:val="000D2AF1"/>
    <w:rsid w:val="000D6A14"/>
    <w:rsid w:val="000E0702"/>
    <w:rsid w:val="000F1624"/>
    <w:rsid w:val="000F5124"/>
    <w:rsid w:val="000F795A"/>
    <w:rsid w:val="000F7B69"/>
    <w:rsid w:val="00101EDE"/>
    <w:rsid w:val="00106726"/>
    <w:rsid w:val="00113759"/>
    <w:rsid w:val="001150AB"/>
    <w:rsid w:val="001162DA"/>
    <w:rsid w:val="0011658A"/>
    <w:rsid w:val="00123A20"/>
    <w:rsid w:val="0013024C"/>
    <w:rsid w:val="00131332"/>
    <w:rsid w:val="001335DB"/>
    <w:rsid w:val="00136EB7"/>
    <w:rsid w:val="001425E1"/>
    <w:rsid w:val="00144730"/>
    <w:rsid w:val="001452D1"/>
    <w:rsid w:val="001633E0"/>
    <w:rsid w:val="001638D5"/>
    <w:rsid w:val="00166A59"/>
    <w:rsid w:val="00172C95"/>
    <w:rsid w:val="00173BF6"/>
    <w:rsid w:val="00174D1A"/>
    <w:rsid w:val="00182D35"/>
    <w:rsid w:val="00186FFD"/>
    <w:rsid w:val="00187259"/>
    <w:rsid w:val="00190B2A"/>
    <w:rsid w:val="0019432E"/>
    <w:rsid w:val="001A20A0"/>
    <w:rsid w:val="001B0452"/>
    <w:rsid w:val="001B0AF6"/>
    <w:rsid w:val="001B403A"/>
    <w:rsid w:val="001B4BC2"/>
    <w:rsid w:val="001B559E"/>
    <w:rsid w:val="001B702D"/>
    <w:rsid w:val="001B7AFF"/>
    <w:rsid w:val="001C1389"/>
    <w:rsid w:val="001E61FC"/>
    <w:rsid w:val="001E7C8E"/>
    <w:rsid w:val="001F7AF8"/>
    <w:rsid w:val="00206E7A"/>
    <w:rsid w:val="00211D46"/>
    <w:rsid w:val="002208D7"/>
    <w:rsid w:val="002264A9"/>
    <w:rsid w:val="00227416"/>
    <w:rsid w:val="0024054D"/>
    <w:rsid w:val="00256A79"/>
    <w:rsid w:val="00265542"/>
    <w:rsid w:val="002721FA"/>
    <w:rsid w:val="00272AED"/>
    <w:rsid w:val="00277E85"/>
    <w:rsid w:val="002828C5"/>
    <w:rsid w:val="00284333"/>
    <w:rsid w:val="002924A8"/>
    <w:rsid w:val="0029478D"/>
    <w:rsid w:val="00295245"/>
    <w:rsid w:val="0029670F"/>
    <w:rsid w:val="00297304"/>
    <w:rsid w:val="002A36B0"/>
    <w:rsid w:val="002A4000"/>
    <w:rsid w:val="002B0961"/>
    <w:rsid w:val="002B1669"/>
    <w:rsid w:val="002B18C4"/>
    <w:rsid w:val="002B19CA"/>
    <w:rsid w:val="002B22CA"/>
    <w:rsid w:val="002B3CBD"/>
    <w:rsid w:val="002C1EDF"/>
    <w:rsid w:val="002C2A87"/>
    <w:rsid w:val="002C5F5C"/>
    <w:rsid w:val="002C7975"/>
    <w:rsid w:val="002D17D1"/>
    <w:rsid w:val="002D444D"/>
    <w:rsid w:val="002D77DA"/>
    <w:rsid w:val="002E56ED"/>
    <w:rsid w:val="002E617E"/>
    <w:rsid w:val="002E717D"/>
    <w:rsid w:val="002F325D"/>
    <w:rsid w:val="002F4E18"/>
    <w:rsid w:val="003033BF"/>
    <w:rsid w:val="003078C4"/>
    <w:rsid w:val="003110C8"/>
    <w:rsid w:val="00314B91"/>
    <w:rsid w:val="00320B7A"/>
    <w:rsid w:val="00320DB1"/>
    <w:rsid w:val="00321983"/>
    <w:rsid w:val="0032244B"/>
    <w:rsid w:val="0032322D"/>
    <w:rsid w:val="00324F25"/>
    <w:rsid w:val="003364AD"/>
    <w:rsid w:val="0033694A"/>
    <w:rsid w:val="00336D86"/>
    <w:rsid w:val="00343FB9"/>
    <w:rsid w:val="003573CC"/>
    <w:rsid w:val="00357D9D"/>
    <w:rsid w:val="003608C9"/>
    <w:rsid w:val="00361BE3"/>
    <w:rsid w:val="003623D5"/>
    <w:rsid w:val="00364731"/>
    <w:rsid w:val="0037299C"/>
    <w:rsid w:val="003777F5"/>
    <w:rsid w:val="003811E2"/>
    <w:rsid w:val="003814A6"/>
    <w:rsid w:val="003837BB"/>
    <w:rsid w:val="00384095"/>
    <w:rsid w:val="0039460C"/>
    <w:rsid w:val="0039661F"/>
    <w:rsid w:val="003A14DA"/>
    <w:rsid w:val="003A2D94"/>
    <w:rsid w:val="003A3283"/>
    <w:rsid w:val="003A4A29"/>
    <w:rsid w:val="003A7119"/>
    <w:rsid w:val="003B0A4B"/>
    <w:rsid w:val="003C1338"/>
    <w:rsid w:val="003C19C2"/>
    <w:rsid w:val="003C444E"/>
    <w:rsid w:val="003C4B3E"/>
    <w:rsid w:val="003C6C27"/>
    <w:rsid w:val="003D0CB5"/>
    <w:rsid w:val="003D4B29"/>
    <w:rsid w:val="003D4C1D"/>
    <w:rsid w:val="003D6285"/>
    <w:rsid w:val="003D75FF"/>
    <w:rsid w:val="003E462F"/>
    <w:rsid w:val="003F11EE"/>
    <w:rsid w:val="00401E1A"/>
    <w:rsid w:val="00402421"/>
    <w:rsid w:val="004068AD"/>
    <w:rsid w:val="0041503D"/>
    <w:rsid w:val="004152A7"/>
    <w:rsid w:val="00417371"/>
    <w:rsid w:val="00417494"/>
    <w:rsid w:val="0042165E"/>
    <w:rsid w:val="004235DF"/>
    <w:rsid w:val="0042676C"/>
    <w:rsid w:val="00432F68"/>
    <w:rsid w:val="00437873"/>
    <w:rsid w:val="00440625"/>
    <w:rsid w:val="004465D0"/>
    <w:rsid w:val="004500C8"/>
    <w:rsid w:val="004611CC"/>
    <w:rsid w:val="0046391F"/>
    <w:rsid w:val="00480D7A"/>
    <w:rsid w:val="004829E7"/>
    <w:rsid w:val="00482B17"/>
    <w:rsid w:val="004842A5"/>
    <w:rsid w:val="00492B7F"/>
    <w:rsid w:val="00493144"/>
    <w:rsid w:val="00493409"/>
    <w:rsid w:val="00496BE0"/>
    <w:rsid w:val="004A08D6"/>
    <w:rsid w:val="004B061E"/>
    <w:rsid w:val="004B5C7C"/>
    <w:rsid w:val="004B6AA2"/>
    <w:rsid w:val="004B6CED"/>
    <w:rsid w:val="004C2125"/>
    <w:rsid w:val="004C34B7"/>
    <w:rsid w:val="004C4787"/>
    <w:rsid w:val="004D317F"/>
    <w:rsid w:val="004D4473"/>
    <w:rsid w:val="004E2560"/>
    <w:rsid w:val="004E48C8"/>
    <w:rsid w:val="004F0B32"/>
    <w:rsid w:val="004F565C"/>
    <w:rsid w:val="004F6C9A"/>
    <w:rsid w:val="005005ED"/>
    <w:rsid w:val="00512C8D"/>
    <w:rsid w:val="00514F8E"/>
    <w:rsid w:val="00521C95"/>
    <w:rsid w:val="00523B07"/>
    <w:rsid w:val="00525ABC"/>
    <w:rsid w:val="00526A8A"/>
    <w:rsid w:val="0054473A"/>
    <w:rsid w:val="00544BA6"/>
    <w:rsid w:val="00546523"/>
    <w:rsid w:val="005476DE"/>
    <w:rsid w:val="00551EA1"/>
    <w:rsid w:val="0055286C"/>
    <w:rsid w:val="0055787D"/>
    <w:rsid w:val="00560906"/>
    <w:rsid w:val="00565922"/>
    <w:rsid w:val="00571832"/>
    <w:rsid w:val="00574888"/>
    <w:rsid w:val="005767B8"/>
    <w:rsid w:val="0058073D"/>
    <w:rsid w:val="0058193E"/>
    <w:rsid w:val="00586D5D"/>
    <w:rsid w:val="00592966"/>
    <w:rsid w:val="005932B1"/>
    <w:rsid w:val="00593DAD"/>
    <w:rsid w:val="005973EB"/>
    <w:rsid w:val="005A1637"/>
    <w:rsid w:val="005A27FF"/>
    <w:rsid w:val="005A3777"/>
    <w:rsid w:val="005A3AD6"/>
    <w:rsid w:val="005A4786"/>
    <w:rsid w:val="005A68A4"/>
    <w:rsid w:val="005A74FB"/>
    <w:rsid w:val="005B40BB"/>
    <w:rsid w:val="005B4726"/>
    <w:rsid w:val="005B51F4"/>
    <w:rsid w:val="005C11B0"/>
    <w:rsid w:val="005C160A"/>
    <w:rsid w:val="005C344C"/>
    <w:rsid w:val="005C6B57"/>
    <w:rsid w:val="005C7B84"/>
    <w:rsid w:val="005C7DCF"/>
    <w:rsid w:val="005D2A9E"/>
    <w:rsid w:val="005E6A9E"/>
    <w:rsid w:val="005F4C82"/>
    <w:rsid w:val="006006D0"/>
    <w:rsid w:val="00603692"/>
    <w:rsid w:val="006036E1"/>
    <w:rsid w:val="00603DD2"/>
    <w:rsid w:val="00605EBF"/>
    <w:rsid w:val="00606ED4"/>
    <w:rsid w:val="006075E8"/>
    <w:rsid w:val="00610082"/>
    <w:rsid w:val="0061474F"/>
    <w:rsid w:val="00614AD4"/>
    <w:rsid w:val="0062538D"/>
    <w:rsid w:val="0063745B"/>
    <w:rsid w:val="00641C3E"/>
    <w:rsid w:val="00642F02"/>
    <w:rsid w:val="006445A4"/>
    <w:rsid w:val="0065038B"/>
    <w:rsid w:val="00650404"/>
    <w:rsid w:val="00653F47"/>
    <w:rsid w:val="0065462E"/>
    <w:rsid w:val="006572A9"/>
    <w:rsid w:val="006573F5"/>
    <w:rsid w:val="00657420"/>
    <w:rsid w:val="00667604"/>
    <w:rsid w:val="00667683"/>
    <w:rsid w:val="00667D55"/>
    <w:rsid w:val="00673D3D"/>
    <w:rsid w:val="006741D4"/>
    <w:rsid w:val="006A22D5"/>
    <w:rsid w:val="006A239A"/>
    <w:rsid w:val="006A600E"/>
    <w:rsid w:val="006A60BE"/>
    <w:rsid w:val="006A776B"/>
    <w:rsid w:val="006B0D87"/>
    <w:rsid w:val="006B7F5E"/>
    <w:rsid w:val="006C012E"/>
    <w:rsid w:val="006D0E0F"/>
    <w:rsid w:val="006D11E7"/>
    <w:rsid w:val="006D1A95"/>
    <w:rsid w:val="006D2267"/>
    <w:rsid w:val="006D6BA6"/>
    <w:rsid w:val="006D6F17"/>
    <w:rsid w:val="006E760D"/>
    <w:rsid w:val="006F362E"/>
    <w:rsid w:val="006F37FA"/>
    <w:rsid w:val="006F3DA7"/>
    <w:rsid w:val="006F5E14"/>
    <w:rsid w:val="006F7924"/>
    <w:rsid w:val="00701CB8"/>
    <w:rsid w:val="00711975"/>
    <w:rsid w:val="00713538"/>
    <w:rsid w:val="00717EE9"/>
    <w:rsid w:val="00721690"/>
    <w:rsid w:val="00721932"/>
    <w:rsid w:val="00723454"/>
    <w:rsid w:val="00724A0B"/>
    <w:rsid w:val="00727131"/>
    <w:rsid w:val="0073071F"/>
    <w:rsid w:val="00731072"/>
    <w:rsid w:val="00731A9C"/>
    <w:rsid w:val="007338E0"/>
    <w:rsid w:val="007421A3"/>
    <w:rsid w:val="00744588"/>
    <w:rsid w:val="00744732"/>
    <w:rsid w:val="0074721A"/>
    <w:rsid w:val="007479B1"/>
    <w:rsid w:val="00753509"/>
    <w:rsid w:val="00757219"/>
    <w:rsid w:val="00767EF8"/>
    <w:rsid w:val="00774131"/>
    <w:rsid w:val="00774DB4"/>
    <w:rsid w:val="00790330"/>
    <w:rsid w:val="0079263B"/>
    <w:rsid w:val="00793196"/>
    <w:rsid w:val="007A29D2"/>
    <w:rsid w:val="007B044F"/>
    <w:rsid w:val="007B2B3D"/>
    <w:rsid w:val="007B3289"/>
    <w:rsid w:val="007B4278"/>
    <w:rsid w:val="007C2AF8"/>
    <w:rsid w:val="007D4730"/>
    <w:rsid w:val="007D77F2"/>
    <w:rsid w:val="007E6C81"/>
    <w:rsid w:val="007F0717"/>
    <w:rsid w:val="007F1144"/>
    <w:rsid w:val="007F15F6"/>
    <w:rsid w:val="008039D6"/>
    <w:rsid w:val="00804443"/>
    <w:rsid w:val="00804E4E"/>
    <w:rsid w:val="00806E47"/>
    <w:rsid w:val="0081368D"/>
    <w:rsid w:val="00815673"/>
    <w:rsid w:val="00821372"/>
    <w:rsid w:val="00824ADC"/>
    <w:rsid w:val="00832159"/>
    <w:rsid w:val="008343EC"/>
    <w:rsid w:val="0083481C"/>
    <w:rsid w:val="00844A2D"/>
    <w:rsid w:val="00845940"/>
    <w:rsid w:val="008465E2"/>
    <w:rsid w:val="008629DB"/>
    <w:rsid w:val="00862E4E"/>
    <w:rsid w:val="00863D59"/>
    <w:rsid w:val="00865371"/>
    <w:rsid w:val="008671A6"/>
    <w:rsid w:val="0087367E"/>
    <w:rsid w:val="00873F3A"/>
    <w:rsid w:val="00874C49"/>
    <w:rsid w:val="00875A8F"/>
    <w:rsid w:val="00875E1B"/>
    <w:rsid w:val="0087668D"/>
    <w:rsid w:val="008835C5"/>
    <w:rsid w:val="00894805"/>
    <w:rsid w:val="00896163"/>
    <w:rsid w:val="008A09CD"/>
    <w:rsid w:val="008A0D6A"/>
    <w:rsid w:val="008C2D18"/>
    <w:rsid w:val="008C5AB7"/>
    <w:rsid w:val="008E4075"/>
    <w:rsid w:val="008E4D3E"/>
    <w:rsid w:val="008E5054"/>
    <w:rsid w:val="008E66F7"/>
    <w:rsid w:val="008F27F9"/>
    <w:rsid w:val="009060FA"/>
    <w:rsid w:val="00916FFB"/>
    <w:rsid w:val="00923681"/>
    <w:rsid w:val="009237CD"/>
    <w:rsid w:val="0092396B"/>
    <w:rsid w:val="009271E7"/>
    <w:rsid w:val="00934A35"/>
    <w:rsid w:val="00935114"/>
    <w:rsid w:val="00943439"/>
    <w:rsid w:val="00943625"/>
    <w:rsid w:val="009550EB"/>
    <w:rsid w:val="0096143F"/>
    <w:rsid w:val="009615D6"/>
    <w:rsid w:val="0097013C"/>
    <w:rsid w:val="00970156"/>
    <w:rsid w:val="00974A6A"/>
    <w:rsid w:val="00975391"/>
    <w:rsid w:val="00982750"/>
    <w:rsid w:val="00983CA8"/>
    <w:rsid w:val="0099440B"/>
    <w:rsid w:val="00995A8D"/>
    <w:rsid w:val="00995F4A"/>
    <w:rsid w:val="009A1784"/>
    <w:rsid w:val="009A2713"/>
    <w:rsid w:val="009A687F"/>
    <w:rsid w:val="009A690C"/>
    <w:rsid w:val="009A6FC9"/>
    <w:rsid w:val="009B1B42"/>
    <w:rsid w:val="009B7D74"/>
    <w:rsid w:val="009C4C4F"/>
    <w:rsid w:val="009D5952"/>
    <w:rsid w:val="009E0DBE"/>
    <w:rsid w:val="009E4BC8"/>
    <w:rsid w:val="009E7ADB"/>
    <w:rsid w:val="009F3233"/>
    <w:rsid w:val="009F339B"/>
    <w:rsid w:val="009F52FB"/>
    <w:rsid w:val="009F736C"/>
    <w:rsid w:val="00A00E7E"/>
    <w:rsid w:val="00A0109C"/>
    <w:rsid w:val="00A030BF"/>
    <w:rsid w:val="00A03281"/>
    <w:rsid w:val="00A032BA"/>
    <w:rsid w:val="00A1039F"/>
    <w:rsid w:val="00A1480D"/>
    <w:rsid w:val="00A20BDC"/>
    <w:rsid w:val="00A213A1"/>
    <w:rsid w:val="00A21A86"/>
    <w:rsid w:val="00A27140"/>
    <w:rsid w:val="00A3613C"/>
    <w:rsid w:val="00A51C4A"/>
    <w:rsid w:val="00A54726"/>
    <w:rsid w:val="00A549E2"/>
    <w:rsid w:val="00A619D3"/>
    <w:rsid w:val="00A7368F"/>
    <w:rsid w:val="00A84D1D"/>
    <w:rsid w:val="00AA0C43"/>
    <w:rsid w:val="00AB487E"/>
    <w:rsid w:val="00AE40CB"/>
    <w:rsid w:val="00AE742E"/>
    <w:rsid w:val="00AF1486"/>
    <w:rsid w:val="00AF1A79"/>
    <w:rsid w:val="00AF1FF0"/>
    <w:rsid w:val="00AF34DB"/>
    <w:rsid w:val="00AF66AB"/>
    <w:rsid w:val="00B00CC9"/>
    <w:rsid w:val="00B048BF"/>
    <w:rsid w:val="00B04FF4"/>
    <w:rsid w:val="00B059C0"/>
    <w:rsid w:val="00B07B47"/>
    <w:rsid w:val="00B10C9D"/>
    <w:rsid w:val="00B11359"/>
    <w:rsid w:val="00B113EA"/>
    <w:rsid w:val="00B159F1"/>
    <w:rsid w:val="00B16CF9"/>
    <w:rsid w:val="00B17606"/>
    <w:rsid w:val="00B20B05"/>
    <w:rsid w:val="00B21A7F"/>
    <w:rsid w:val="00B252E9"/>
    <w:rsid w:val="00B26C2C"/>
    <w:rsid w:val="00B3149E"/>
    <w:rsid w:val="00B3481E"/>
    <w:rsid w:val="00B4185B"/>
    <w:rsid w:val="00B41E92"/>
    <w:rsid w:val="00B436FE"/>
    <w:rsid w:val="00B5314F"/>
    <w:rsid w:val="00B606F6"/>
    <w:rsid w:val="00B6430A"/>
    <w:rsid w:val="00B70775"/>
    <w:rsid w:val="00B8367A"/>
    <w:rsid w:val="00B860C6"/>
    <w:rsid w:val="00B87CE9"/>
    <w:rsid w:val="00B90C9A"/>
    <w:rsid w:val="00B92E53"/>
    <w:rsid w:val="00B92F01"/>
    <w:rsid w:val="00B94D67"/>
    <w:rsid w:val="00BA53A8"/>
    <w:rsid w:val="00BB226B"/>
    <w:rsid w:val="00BB4D4E"/>
    <w:rsid w:val="00BB6BC4"/>
    <w:rsid w:val="00BD02BB"/>
    <w:rsid w:val="00BD292A"/>
    <w:rsid w:val="00BD71DB"/>
    <w:rsid w:val="00BE004D"/>
    <w:rsid w:val="00BE056F"/>
    <w:rsid w:val="00BE05E8"/>
    <w:rsid w:val="00BE2B44"/>
    <w:rsid w:val="00BE5008"/>
    <w:rsid w:val="00BF24E9"/>
    <w:rsid w:val="00BF3268"/>
    <w:rsid w:val="00BF3AEA"/>
    <w:rsid w:val="00BF637F"/>
    <w:rsid w:val="00C03A7F"/>
    <w:rsid w:val="00C03F98"/>
    <w:rsid w:val="00C05DA9"/>
    <w:rsid w:val="00C066DB"/>
    <w:rsid w:val="00C1304D"/>
    <w:rsid w:val="00C143CD"/>
    <w:rsid w:val="00C226D8"/>
    <w:rsid w:val="00C2368E"/>
    <w:rsid w:val="00C25532"/>
    <w:rsid w:val="00C267B5"/>
    <w:rsid w:val="00C422A2"/>
    <w:rsid w:val="00C4556A"/>
    <w:rsid w:val="00C531E4"/>
    <w:rsid w:val="00C55AE5"/>
    <w:rsid w:val="00C65D21"/>
    <w:rsid w:val="00C7174B"/>
    <w:rsid w:val="00C8275E"/>
    <w:rsid w:val="00C82E2C"/>
    <w:rsid w:val="00C92F69"/>
    <w:rsid w:val="00C9651F"/>
    <w:rsid w:val="00C969CF"/>
    <w:rsid w:val="00CA5B9C"/>
    <w:rsid w:val="00CB1C26"/>
    <w:rsid w:val="00CB5D6F"/>
    <w:rsid w:val="00CC49CB"/>
    <w:rsid w:val="00CC5A11"/>
    <w:rsid w:val="00CD0139"/>
    <w:rsid w:val="00CD0BA4"/>
    <w:rsid w:val="00CD18CA"/>
    <w:rsid w:val="00CD4699"/>
    <w:rsid w:val="00CD5C5E"/>
    <w:rsid w:val="00CD6ECC"/>
    <w:rsid w:val="00CE203D"/>
    <w:rsid w:val="00CE2518"/>
    <w:rsid w:val="00CE4954"/>
    <w:rsid w:val="00CE6FAB"/>
    <w:rsid w:val="00CF1F7A"/>
    <w:rsid w:val="00CF60B2"/>
    <w:rsid w:val="00CF7F74"/>
    <w:rsid w:val="00D008A3"/>
    <w:rsid w:val="00D07363"/>
    <w:rsid w:val="00D07FEE"/>
    <w:rsid w:val="00D12496"/>
    <w:rsid w:val="00D13541"/>
    <w:rsid w:val="00D16574"/>
    <w:rsid w:val="00D16660"/>
    <w:rsid w:val="00D2280B"/>
    <w:rsid w:val="00D243F4"/>
    <w:rsid w:val="00D270AA"/>
    <w:rsid w:val="00D315DF"/>
    <w:rsid w:val="00D323C7"/>
    <w:rsid w:val="00D32E44"/>
    <w:rsid w:val="00D3383D"/>
    <w:rsid w:val="00D340A4"/>
    <w:rsid w:val="00D365A4"/>
    <w:rsid w:val="00D40CFE"/>
    <w:rsid w:val="00D41998"/>
    <w:rsid w:val="00D47474"/>
    <w:rsid w:val="00D5022F"/>
    <w:rsid w:val="00D5090E"/>
    <w:rsid w:val="00D53A99"/>
    <w:rsid w:val="00D64566"/>
    <w:rsid w:val="00D64CB6"/>
    <w:rsid w:val="00D76B75"/>
    <w:rsid w:val="00D80DB6"/>
    <w:rsid w:val="00D81675"/>
    <w:rsid w:val="00D84E7E"/>
    <w:rsid w:val="00D86A6C"/>
    <w:rsid w:val="00D872F0"/>
    <w:rsid w:val="00D93CCC"/>
    <w:rsid w:val="00D9505C"/>
    <w:rsid w:val="00D9788C"/>
    <w:rsid w:val="00DA3974"/>
    <w:rsid w:val="00DA7A3C"/>
    <w:rsid w:val="00DB4473"/>
    <w:rsid w:val="00DB4EFF"/>
    <w:rsid w:val="00DB59FF"/>
    <w:rsid w:val="00DD03D4"/>
    <w:rsid w:val="00DD4634"/>
    <w:rsid w:val="00DD6104"/>
    <w:rsid w:val="00DE23D8"/>
    <w:rsid w:val="00DE4580"/>
    <w:rsid w:val="00DE5D71"/>
    <w:rsid w:val="00DF1FC4"/>
    <w:rsid w:val="00DF3263"/>
    <w:rsid w:val="00DF61A4"/>
    <w:rsid w:val="00DF7006"/>
    <w:rsid w:val="00E041BA"/>
    <w:rsid w:val="00E12269"/>
    <w:rsid w:val="00E125A9"/>
    <w:rsid w:val="00E130B7"/>
    <w:rsid w:val="00E13827"/>
    <w:rsid w:val="00E21FA9"/>
    <w:rsid w:val="00E23CE2"/>
    <w:rsid w:val="00E26642"/>
    <w:rsid w:val="00E303CC"/>
    <w:rsid w:val="00E31EF6"/>
    <w:rsid w:val="00E34E7C"/>
    <w:rsid w:val="00E37DE1"/>
    <w:rsid w:val="00E400A3"/>
    <w:rsid w:val="00E452B9"/>
    <w:rsid w:val="00E47E71"/>
    <w:rsid w:val="00E539D7"/>
    <w:rsid w:val="00E62D10"/>
    <w:rsid w:val="00E81546"/>
    <w:rsid w:val="00E841E6"/>
    <w:rsid w:val="00E85421"/>
    <w:rsid w:val="00E868CE"/>
    <w:rsid w:val="00E91615"/>
    <w:rsid w:val="00E92E9F"/>
    <w:rsid w:val="00E95C00"/>
    <w:rsid w:val="00E95D25"/>
    <w:rsid w:val="00E97032"/>
    <w:rsid w:val="00E9706A"/>
    <w:rsid w:val="00EA0F63"/>
    <w:rsid w:val="00EB38A8"/>
    <w:rsid w:val="00EB5AC0"/>
    <w:rsid w:val="00EB74E8"/>
    <w:rsid w:val="00EC71F7"/>
    <w:rsid w:val="00ED1727"/>
    <w:rsid w:val="00EE2113"/>
    <w:rsid w:val="00EE479C"/>
    <w:rsid w:val="00EE5DE4"/>
    <w:rsid w:val="00EE620C"/>
    <w:rsid w:val="00EE7911"/>
    <w:rsid w:val="00EF43C4"/>
    <w:rsid w:val="00EF461C"/>
    <w:rsid w:val="00EF484E"/>
    <w:rsid w:val="00EF4DEF"/>
    <w:rsid w:val="00F068DD"/>
    <w:rsid w:val="00F10F6E"/>
    <w:rsid w:val="00F21748"/>
    <w:rsid w:val="00F21E78"/>
    <w:rsid w:val="00F302D4"/>
    <w:rsid w:val="00F3070A"/>
    <w:rsid w:val="00F46000"/>
    <w:rsid w:val="00F602EA"/>
    <w:rsid w:val="00F6350A"/>
    <w:rsid w:val="00F77724"/>
    <w:rsid w:val="00F849A5"/>
    <w:rsid w:val="00F8598E"/>
    <w:rsid w:val="00F85CD0"/>
    <w:rsid w:val="00F90DEC"/>
    <w:rsid w:val="00F93A4A"/>
    <w:rsid w:val="00F94C5A"/>
    <w:rsid w:val="00FB6628"/>
    <w:rsid w:val="00FC1C25"/>
    <w:rsid w:val="00FC528B"/>
    <w:rsid w:val="00FC5345"/>
    <w:rsid w:val="00FD0355"/>
    <w:rsid w:val="00FD1612"/>
    <w:rsid w:val="00FD204A"/>
    <w:rsid w:val="00FD5CAF"/>
    <w:rsid w:val="00FE0A8C"/>
    <w:rsid w:val="00FE4219"/>
    <w:rsid w:val="00FE426B"/>
    <w:rsid w:val="00FE4EFB"/>
    <w:rsid w:val="00FE7291"/>
    <w:rsid w:val="00FE763B"/>
    <w:rsid w:val="00FF21E0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5211"/>
  <w15:chartTrackingRefBased/>
  <w15:docId w15:val="{48728EE5-A1B8-4D01-A978-56BDC811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13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3D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9670F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29670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9670F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29670F"/>
    <w:rPr>
      <w:sz w:val="22"/>
      <w:szCs w:val="22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92F01"/>
    <w:pPr>
      <w:spacing w:after="0" w:line="240" w:lineRule="auto"/>
    </w:pPr>
    <w:rPr>
      <w:rFonts w:ascii="Consolas" w:hAnsi="Consolas" w:cs="Consolas"/>
      <w:sz w:val="21"/>
      <w:szCs w:val="21"/>
      <w:lang w:eastAsia="fr-FR"/>
    </w:rPr>
  </w:style>
  <w:style w:type="character" w:customStyle="1" w:styleId="TextebrutCar">
    <w:name w:val="Texte brut Car"/>
    <w:link w:val="Textebrut"/>
    <w:uiPriority w:val="99"/>
    <w:semiHidden/>
    <w:rsid w:val="00B92F01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9F33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72AED"/>
    <w:rPr>
      <w:rFonts w:ascii="Tahoma" w:hAnsi="Tahoma" w:cs="Tahoma"/>
      <w:sz w:val="16"/>
      <w:szCs w:val="16"/>
      <w:lang w:eastAsia="en-US"/>
    </w:rPr>
  </w:style>
  <w:style w:type="paragraph" w:styleId="Retraitcorpsdetexte">
    <w:name w:val="Body Text Indent"/>
    <w:basedOn w:val="Normal"/>
    <w:link w:val="RetraitcorpsdetexteCar"/>
    <w:rsid w:val="005A478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Car">
    <w:name w:val="Retrait corps de texte Car"/>
    <w:link w:val="Retraitcorpsdetexte"/>
    <w:rsid w:val="005A4786"/>
    <w:rPr>
      <w:rFonts w:ascii="Times New Roman" w:eastAsia="Times New Roman" w:hAnsi="Times New Roman"/>
      <w:sz w:val="24"/>
      <w:szCs w:val="24"/>
    </w:rPr>
  </w:style>
  <w:style w:type="table" w:styleId="Listemoyenne2-Accent1">
    <w:name w:val="Medium List 2 Accent 1"/>
    <w:basedOn w:val="TableauNormal"/>
    <w:uiPriority w:val="66"/>
    <w:rsid w:val="00EE620C"/>
    <w:rPr>
      <w:rFonts w:ascii="Cambria" w:eastAsia="Times New Roman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rier4">
    <w:name w:val="Calendrier 4"/>
    <w:basedOn w:val="TableauNormal"/>
    <w:uiPriority w:val="99"/>
    <w:qFormat/>
    <w:rsid w:val="004F0B32"/>
    <w:pPr>
      <w:snapToGrid w:val="0"/>
    </w:pPr>
    <w:rPr>
      <w:rFonts w:eastAsia="Times New Roman"/>
      <w:b/>
      <w:color w:val="FFFFFF"/>
      <w:sz w:val="16"/>
      <w:szCs w:val="22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="Calibri" w:hAnsi="Calibr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Listearticle">
    <w:name w:val="Liste article"/>
    <w:basedOn w:val="Normal"/>
    <w:link w:val="ListearticleCar"/>
    <w:autoRedefine/>
    <w:qFormat/>
    <w:rsid w:val="004829E7"/>
    <w:pPr>
      <w:shd w:val="clear" w:color="auto" w:fill="D9D9D9"/>
      <w:spacing w:after="0" w:line="259" w:lineRule="auto"/>
      <w:ind w:left="1133" w:hanging="1275"/>
      <w:jc w:val="center"/>
    </w:pPr>
    <w:rPr>
      <w:b/>
      <w:u w:val="single"/>
    </w:rPr>
  </w:style>
  <w:style w:type="character" w:customStyle="1" w:styleId="ListearticleCar">
    <w:name w:val="Liste article Car"/>
    <w:link w:val="Listearticle"/>
    <w:rsid w:val="004829E7"/>
    <w:rPr>
      <w:b/>
      <w:sz w:val="22"/>
      <w:szCs w:val="22"/>
      <w:u w:val="single"/>
      <w:shd w:val="clear" w:color="auto" w:fill="D9D9D9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F6350A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350A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unhideWhenUsed/>
    <w:rsid w:val="008343E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rsid w:val="008343EC"/>
    <w:rPr>
      <w:lang w:eastAsia="en-US"/>
    </w:rPr>
  </w:style>
  <w:style w:type="character" w:styleId="Appeldenotedefin">
    <w:name w:val="endnote reference"/>
    <w:uiPriority w:val="99"/>
    <w:semiHidden/>
    <w:unhideWhenUsed/>
    <w:rsid w:val="008343EC"/>
    <w:rPr>
      <w:vertAlign w:val="superscript"/>
    </w:rPr>
  </w:style>
  <w:style w:type="character" w:styleId="Accentuation">
    <w:name w:val="Emphasis"/>
    <w:uiPriority w:val="20"/>
    <w:qFormat/>
    <w:rsid w:val="0033694A"/>
    <w:rPr>
      <w:i/>
      <w:iCs/>
    </w:rPr>
  </w:style>
  <w:style w:type="character" w:styleId="Marquedecommentaire">
    <w:name w:val="annotation reference"/>
    <w:uiPriority w:val="99"/>
    <w:semiHidden/>
    <w:unhideWhenUsed/>
    <w:rsid w:val="00D76B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6B7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D76B7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6B7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76B75"/>
    <w:rPr>
      <w:b/>
      <w:bCs/>
      <w:lang w:eastAsia="en-US"/>
    </w:rPr>
  </w:style>
  <w:style w:type="character" w:customStyle="1" w:styleId="st1">
    <w:name w:val="st1"/>
    <w:rsid w:val="00D872F0"/>
  </w:style>
  <w:style w:type="paragraph" w:customStyle="1" w:styleId="msoaddress">
    <w:name w:val="msoaddress"/>
    <w:rsid w:val="00B059C0"/>
    <w:pPr>
      <w:spacing w:line="300" w:lineRule="auto"/>
      <w:jc w:val="center"/>
    </w:pPr>
    <w:rPr>
      <w:rFonts w:ascii="Gill Sans MT" w:eastAsia="Times New Roman" w:hAnsi="Gill Sans MT"/>
      <w:color w:val="000000"/>
      <w:kern w:val="28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C8C5-C02B-41FB-A531-4607C731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904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REUNION DE COORDINATION DE SERVICES</vt:lpstr>
    </vt:vector>
  </TitlesOfParts>
  <Company>Microsoft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DE COORDINATION DE SERVICES</dc:title>
  <dc:subject/>
  <dc:creator>Emilie Blachon</dc:creator>
  <cp:keywords/>
  <cp:lastModifiedBy>Frédéric Pappalardo</cp:lastModifiedBy>
  <cp:revision>5</cp:revision>
  <cp:lastPrinted>2019-09-19T12:53:00Z</cp:lastPrinted>
  <dcterms:created xsi:type="dcterms:W3CDTF">2024-10-01T12:19:00Z</dcterms:created>
  <dcterms:modified xsi:type="dcterms:W3CDTF">2024-10-01T13:15:00Z</dcterms:modified>
</cp:coreProperties>
</file>